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吉林省信用修复“一件事”工作方案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为贯彻落实《国务院关于进一步优化政务服务提升行政效能推动“高效办成一件事”的指导意见》（国发〔2024〕3号）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</w:rPr>
        <w:t>扎实做好信用修复效能提升工作，进一步提升企业和群众满意度、获得感，结合我省实际，制定本方案。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建立健全协同修复机制，建设吉林省信用修复协同系统，</w:t>
      </w:r>
      <w:r>
        <w:rPr>
          <w:rFonts w:hint="eastAsia" w:ascii="Times New Roman" w:hAnsi="Times New Roman" w:eastAsia="仿宋_GB2312" w:cs="Times New Roman"/>
          <w:sz w:val="32"/>
        </w:rPr>
        <w:t>打造“在线一口受理、分级协同审核、进度自助可查、结果共享互认”为特点的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信用修复</w:t>
      </w:r>
      <w:r>
        <w:rPr>
          <w:rFonts w:hint="eastAsia" w:ascii="Times New Roman" w:hAnsi="Times New Roman" w:eastAsia="仿宋_GB2312" w:cs="Times New Roman"/>
          <w:sz w:val="32"/>
        </w:rPr>
        <w:t>新模式，实现信用修复“一件事”的办事方式多元化、流程最优化、成本最小化，不断提升经营主体的满意度和获得感。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二、实施路径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集成化，建设全省信用修复</w:t>
      </w:r>
      <w:r>
        <w:rPr>
          <w:rFonts w:hint="eastAsia" w:ascii="Times New Roman" w:hAnsi="Times New Roman" w:eastAsia="仿宋_GB2312" w:cs="Times New Roman"/>
          <w:sz w:val="32"/>
        </w:rPr>
        <w:t>“总枢纽”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向上对接信用中国协同工作平台，横向联通相关部门信用修复系统。数字化，聚焦数字赋能，推进部门间</w:t>
      </w:r>
      <w:r>
        <w:rPr>
          <w:rFonts w:hint="eastAsia" w:ascii="Times New Roman" w:hAnsi="Times New Roman" w:eastAsia="仿宋_GB2312" w:cs="Times New Roman"/>
          <w:sz w:val="32"/>
        </w:rPr>
        <w:t>修复数据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共享，</w:t>
      </w:r>
      <w:r>
        <w:rPr>
          <w:rFonts w:hint="eastAsia" w:ascii="Times New Roman" w:hAnsi="Times New Roman" w:eastAsia="仿宋_GB2312" w:cs="Times New Roman"/>
          <w:sz w:val="32"/>
        </w:rPr>
        <w:t>做好</w:t>
      </w:r>
      <w:r>
        <w:rPr>
          <w:rFonts w:hint="default" w:ascii="Times New Roman" w:hAnsi="Times New Roman" w:eastAsia="仿宋_GB2312" w:cs="Times New Roman"/>
          <w:sz w:val="32"/>
        </w:rPr>
        <w:t>信用修复协同联动工作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。双线化，加强服务渠道建设，推动线上线下双融合，实现信用修复“只进一门”“一网通办”。智能化，依托统一身份认证平台，</w:t>
      </w:r>
      <w:r>
        <w:rPr>
          <w:rFonts w:hint="eastAsia" w:ascii="Times New Roman" w:hAnsi="Times New Roman" w:eastAsia="仿宋_GB2312" w:cs="Times New Roman"/>
          <w:sz w:val="32"/>
        </w:rPr>
        <w:t>完成身份识别和确认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自动展示企业信用信息。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三</w:t>
      </w:r>
      <w:r>
        <w:rPr>
          <w:rFonts w:ascii="Times New Roman" w:hAnsi="Times New Roman" w:eastAsia="黑体"/>
          <w:sz w:val="32"/>
        </w:rPr>
        <w:t>、</w:t>
      </w:r>
      <w:r>
        <w:rPr>
          <w:rFonts w:hint="eastAsia" w:ascii="Times New Roman" w:hAnsi="Times New Roman" w:eastAsia="黑体"/>
          <w:sz w:val="32"/>
          <w:lang w:val="en-US" w:eastAsia="zh-CN"/>
        </w:rPr>
        <w:t>落实举措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" w:cs="仿宋"/>
          <w:kern w:val="2"/>
          <w:sz w:val="32"/>
          <w:szCs w:val="30"/>
          <w:lang w:val="en-US" w:eastAsia="zh-CN" w:bidi="ar-SA"/>
        </w:rPr>
        <w:t>（一）夯实</w:t>
      </w:r>
      <w:r>
        <w:rPr>
          <w:rFonts w:hint="eastAsia" w:ascii="Times New Roman" w:hAnsi="Times New Roman" w:eastAsia="楷体"/>
          <w:sz w:val="32"/>
          <w:lang w:val="en-US" w:eastAsia="zh-CN"/>
        </w:rPr>
        <w:t>业务工作</w:t>
      </w:r>
      <w:r>
        <w:rPr>
          <w:rFonts w:hint="eastAsia" w:ascii="Times New Roman" w:hAnsi="Times New Roman" w:eastAsia="楷体" w:cs="仿宋"/>
          <w:kern w:val="2"/>
          <w:sz w:val="32"/>
          <w:szCs w:val="30"/>
          <w:lang w:val="en-US" w:eastAsia="zh-CN" w:bidi="ar-SA"/>
        </w:rPr>
        <w:t>基础。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各相关部门系统梳理本行业信用修复制度及相关业务规范，明确信用修复办理条件，精简、优化申请表单及材料，进一步优化业务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流程，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加强信用修复业务培训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提高服务质量和修复效率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，同时将修复条件、申报要求、业务流程反馈省政务服务和数字化建设管理局。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"/>
          <w:sz w:val="32"/>
          <w:lang w:val="en-US" w:eastAsia="zh-CN"/>
        </w:rPr>
        <w:t>（二）发布</w:t>
      </w:r>
      <w:r>
        <w:rPr>
          <w:rFonts w:ascii="Times New Roman" w:hAnsi="Times New Roman" w:eastAsia="楷体"/>
          <w:sz w:val="32"/>
        </w:rPr>
        <w:t>信用修复指引。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编制吉林省失信信息信用修复指引，明确各类信用修复的适用主体，详细列出办理流程、申报要件、办理时限及咨询电话等信息，并通过吉林省网上办事大厅、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“信用中国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（吉林）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网站等渠道公开发布，使办事企业能够便捷地查询、办理相关事务。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（三）统建修复协同系统。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建设吉林省信用修复协同系统，与各部门现有的信用修复系统进行无缝对接，确保数据共享与流程协同。针对尚未建立修复系统的部门，专门开发线上修复功能，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为办事企业提供全面、便捷的一站式服务，实现全省信用修复工作的“一口受理”。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（四）线上线下集成办理。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在线上，通过吉林省网上办事大厅“高效办成一件事”服务专区和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“信用中国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（吉林）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网站，为全省提供信用修复服务。在线下，依托省、市各级政务服务中心设立专业服务窗口，做好信用修复受理和异地信用修复线下申请工作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四</w:t>
      </w:r>
      <w:r>
        <w:rPr>
          <w:rFonts w:ascii="Times New Roman" w:hAnsi="Times New Roman" w:eastAsia="黑体"/>
          <w:sz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"/>
          <w:sz w:val="32"/>
        </w:rPr>
        <w:t>（一）落实主体责任。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各相关部门要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提高思想认识，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切实履行本行业信用修复主体责任，按规定及时办理信用修复。省政务服务和数字化建设管理局要切实履行统筹协调职责，对全省信用修复工作加强规范指导。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ascii="Times New Roman" w:hAnsi="Times New Roman" w:eastAsia="楷体"/>
          <w:sz w:val="32"/>
        </w:rPr>
        <w:t>（</w:t>
      </w:r>
      <w:r>
        <w:rPr>
          <w:rFonts w:hint="eastAsia" w:ascii="Times New Roman" w:hAnsi="Times New Roman" w:eastAsia="楷体"/>
          <w:sz w:val="32"/>
          <w:lang w:val="en-US" w:eastAsia="zh-CN"/>
        </w:rPr>
        <w:t>二</w:t>
      </w:r>
      <w:r>
        <w:rPr>
          <w:rFonts w:ascii="Times New Roman" w:hAnsi="Times New Roman" w:eastAsia="楷体"/>
          <w:sz w:val="32"/>
        </w:rPr>
        <w:t>）</w:t>
      </w:r>
      <w:r>
        <w:rPr>
          <w:rFonts w:hint="eastAsia" w:ascii="Times New Roman" w:hAnsi="Times New Roman" w:eastAsia="楷体"/>
          <w:sz w:val="32"/>
        </w:rPr>
        <w:t>强化协同联动。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各地、各相关部门应做好协同配合，形成有效的工作合力。建立信用信息共享机制，加强失信信息和修复结果的共享，实现数据顺畅对接。同时，指定专人负责，保证信用修复“一件事”的顺利推进。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highlight w:val="none"/>
          <w:lang w:val="en-US" w:eastAsia="zh-CN" w:bidi="ar-SA"/>
        </w:rPr>
        <w:t>加强宣传推广。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充分发挥有关部门、行业协会商会、第三方信用服务机构、专家学者、新闻媒体等作用，及时阐释和解读信用信息修复政策，提高社会知晓度，引导更多经营主体重视信用修复，营造良好营商环境。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附件：信用修复“一件事”责任部门一览表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after="54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信用修复“一件事”责任部门一览表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088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部门类型</w:t>
            </w: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建立相关失信信息信用修复指引责任部门</w:t>
            </w: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省政务服务和数字化建设管理局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</w:rPr>
              <w:t>修复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责任部门</w:t>
            </w: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省政务服务和数字化建设管理局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省市场监督管理厅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异常经营名录信息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修复责任部门</w:t>
            </w: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省市场监督管理厅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严重失信主体名单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信息修复责任部门</w:t>
            </w: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省高级人民法院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人力资源和社会保障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lang w:val="en-US" w:eastAsia="zh-CN"/>
              </w:rPr>
              <w:t>省市场监督管理厅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ind w:firstLine="3840" w:firstLineChars="1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DE5OTczNjdkNGIyMGIyNzViNmQwZmU5ZGU5MmMifQ=="/>
  </w:docVars>
  <w:rsids>
    <w:rsidRoot w:val="1ECA0612"/>
    <w:rsid w:val="0666478F"/>
    <w:rsid w:val="1ECA0612"/>
    <w:rsid w:val="24434BC0"/>
    <w:rsid w:val="282272BF"/>
    <w:rsid w:val="44087BA7"/>
    <w:rsid w:val="60886EA0"/>
    <w:rsid w:val="778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微软雅黑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en-US" w:bidi="ar-SA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2024-05-24T01:03:00Z</dcterms:created>
  <dc:creator>么凹</dc:creator>
  <cp:lastModifiedBy>么凹</cp:lastModifiedBy>
  <dcterms:modified xsi:type="dcterms:W3CDTF">2024-05-24T01:04:02Z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24DD0C6068C748D9948C10D1B1EEC7F4_11</vt:lpwstr>
  </property>
</Properties>
</file>