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08D91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val="0"/>
          <w:bCs w:val="0"/>
          <w:color w:val="000000"/>
          <w:sz w:val="44"/>
          <w:szCs w:val="44"/>
        </w:rPr>
      </w:pPr>
      <w:r>
        <w:rPr>
          <w:rFonts w:ascii="方正小标宋_GBK" w:hAnsi="方正小标宋_GBK" w:eastAsia="方正小标宋_GBK" w:cs="方正小标宋_GBK"/>
          <w:b w:val="0"/>
          <w:bCs w:val="0"/>
          <w:color w:val="000000"/>
          <w:sz w:val="44"/>
          <w:szCs w:val="44"/>
        </w:rPr>
        <w:t>关于印发吉林省医疗保障</w:t>
      </w:r>
      <w:r>
        <w:rPr>
          <w:rFonts w:ascii="E-F1" w:hAnsi="E-F1" w:eastAsia="E-F1" w:cs="E-F1"/>
          <w:b w:val="0"/>
          <w:bCs w:val="0"/>
          <w:color w:val="000000"/>
          <w:sz w:val="44"/>
          <w:szCs w:val="44"/>
        </w:rPr>
        <w:t>“</w:t>
      </w:r>
      <w:r>
        <w:rPr>
          <w:rFonts w:hint="eastAsia" w:ascii="方正小标宋_GBK" w:hAnsi="方正小标宋_GBK" w:eastAsia="方正小标宋_GBK" w:cs="方正小标宋_GBK"/>
          <w:b w:val="0"/>
          <w:bCs w:val="0"/>
          <w:color w:val="000000"/>
          <w:sz w:val="44"/>
          <w:szCs w:val="44"/>
        </w:rPr>
        <w:t>十</w:t>
      </w:r>
      <w:r>
        <w:rPr>
          <w:rFonts w:hint="eastAsia" w:ascii="方正小标宋_GBK" w:hAnsi="方正小标宋_GBK" w:eastAsia="方正小标宋_GBK" w:cs="方正小标宋_GBK"/>
          <w:b w:val="0"/>
          <w:bCs w:val="0"/>
          <w:color w:val="000000"/>
          <w:sz w:val="44"/>
          <w:szCs w:val="44"/>
          <w:lang w:val="en-US" w:eastAsia="zh-CN"/>
        </w:rPr>
        <w:t>五</w:t>
      </w:r>
      <w:r>
        <w:rPr>
          <w:rFonts w:hint="eastAsia" w:ascii="方正小标宋_GBK" w:hAnsi="方正小标宋_GBK" w:eastAsia="方正小标宋_GBK" w:cs="方正小标宋_GBK"/>
          <w:b w:val="0"/>
          <w:bCs w:val="0"/>
          <w:color w:val="000000"/>
          <w:sz w:val="44"/>
          <w:szCs w:val="44"/>
        </w:rPr>
        <w:t>五</w:t>
      </w:r>
      <w:r>
        <w:rPr>
          <w:rFonts w:hint="default" w:ascii="E-F1" w:hAnsi="E-F1" w:eastAsia="E-F1" w:cs="E-F1"/>
          <w:b w:val="0"/>
          <w:bCs w:val="0"/>
          <w:color w:val="000000"/>
          <w:sz w:val="44"/>
          <w:szCs w:val="44"/>
        </w:rPr>
        <w:t>”</w:t>
      </w:r>
      <w:r>
        <w:rPr>
          <w:rFonts w:hint="eastAsia" w:ascii="方正小标宋_GBK" w:hAnsi="方正小标宋_GBK" w:eastAsia="方正小标宋_GBK" w:cs="方正小标宋_GBK"/>
          <w:b w:val="0"/>
          <w:bCs w:val="0"/>
          <w:color w:val="000000"/>
          <w:sz w:val="44"/>
          <w:szCs w:val="44"/>
        </w:rPr>
        <w:t>规划</w:t>
      </w:r>
    </w:p>
    <w:p w14:paraId="19C577C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val="0"/>
          <w:bCs w:val="0"/>
          <w:color w:val="000000"/>
          <w:sz w:val="44"/>
          <w:szCs w:val="44"/>
        </w:rPr>
      </w:pPr>
      <w:r>
        <w:rPr>
          <w:rFonts w:hint="eastAsia" w:ascii="方正小标宋_GBK" w:hAnsi="方正小标宋_GBK" w:eastAsia="方正小标宋_GBK" w:cs="方正小标宋_GBK"/>
          <w:b w:val="0"/>
          <w:bCs w:val="0"/>
          <w:color w:val="000000"/>
          <w:sz w:val="44"/>
          <w:szCs w:val="44"/>
        </w:rPr>
        <w:t xml:space="preserve">的通知 </w:t>
      </w:r>
    </w:p>
    <w:p w14:paraId="49D25E22">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b w:val="0"/>
          <w:bCs w:val="0"/>
          <w:color w:val="000000"/>
          <w:sz w:val="32"/>
          <w:szCs w:val="32"/>
        </w:rPr>
      </w:pPr>
    </w:p>
    <w:p w14:paraId="01899CAD">
      <w:pPr>
        <w:keepNext w:val="0"/>
        <w:keepLines w:val="0"/>
        <w:pageBreakBefore w:val="0"/>
        <w:widowControl w:val="0"/>
        <w:kinsoku/>
        <w:wordWrap/>
        <w:overflowPunct/>
        <w:topLinePunct w:val="0"/>
        <w:autoSpaceDE/>
        <w:autoSpaceDN/>
        <w:bidi w:val="0"/>
        <w:adjustRightInd/>
        <w:snapToGrid/>
        <w:spacing w:line="560" w:lineRule="exact"/>
        <w:ind w:left="0"/>
        <w:jc w:val="both"/>
        <w:textAlignment w:val="auto"/>
        <w:rPr>
          <w:rFonts w:hint="eastAsia" w:ascii="仿宋_GB2312" w:hAnsi="仿宋_GB2312" w:eastAsia="仿宋_GB2312" w:cs="仿宋_GB2312"/>
          <w:b w:val="0"/>
          <w:bCs w:val="0"/>
          <w:color w:val="000000"/>
          <w:sz w:val="32"/>
          <w:szCs w:val="32"/>
          <w:lang w:eastAsia="zh-CN"/>
        </w:rPr>
      </w:pPr>
      <w:r>
        <w:rPr>
          <w:rFonts w:hint="eastAsia" w:ascii="仿宋_GB2312" w:hAnsi="仿宋_GB2312" w:eastAsia="仿宋_GB2312" w:cs="仿宋_GB2312"/>
          <w:b w:val="0"/>
          <w:bCs w:val="0"/>
          <w:color w:val="000000"/>
          <w:sz w:val="32"/>
          <w:szCs w:val="32"/>
        </w:rPr>
        <w:t>各市</w:t>
      </w:r>
      <w:r>
        <w:rPr>
          <w:rFonts w:hint="eastAsia" w:ascii="仿宋_GB2312" w:hAnsi="仿宋_GB2312" w:eastAsia="仿宋_GB2312" w:cs="仿宋_GB2312"/>
          <w:b w:val="0"/>
          <w:bCs w:val="0"/>
          <w:color w:val="000000"/>
          <w:sz w:val="32"/>
          <w:szCs w:val="32"/>
          <w:lang w:eastAsia="zh-CN"/>
        </w:rPr>
        <w:t>（</w:t>
      </w:r>
      <w:r>
        <w:rPr>
          <w:rFonts w:hint="eastAsia" w:ascii="仿宋_GB2312" w:hAnsi="仿宋_GB2312" w:eastAsia="仿宋_GB2312" w:cs="仿宋_GB2312"/>
          <w:b w:val="0"/>
          <w:bCs w:val="0"/>
          <w:color w:val="000000"/>
          <w:sz w:val="32"/>
          <w:szCs w:val="32"/>
        </w:rPr>
        <w:t>州</w:t>
      </w:r>
      <w:r>
        <w:rPr>
          <w:rFonts w:hint="eastAsia" w:ascii="仿宋_GB2312" w:hAnsi="仿宋_GB2312" w:eastAsia="仿宋_GB2312" w:cs="仿宋_GB2312"/>
          <w:b w:val="0"/>
          <w:bCs w:val="0"/>
          <w:color w:val="000000"/>
          <w:sz w:val="32"/>
          <w:szCs w:val="32"/>
          <w:lang w:eastAsia="zh-CN"/>
        </w:rPr>
        <w:t>）</w:t>
      </w:r>
      <w:r>
        <w:rPr>
          <w:rFonts w:hint="eastAsia" w:ascii="仿宋_GB2312" w:hAnsi="仿宋_GB2312" w:eastAsia="仿宋_GB2312" w:cs="仿宋_GB2312"/>
          <w:b w:val="0"/>
          <w:bCs w:val="0"/>
          <w:color w:val="000000"/>
          <w:sz w:val="32"/>
          <w:szCs w:val="32"/>
        </w:rPr>
        <w:t>医疗保障局</w:t>
      </w:r>
      <w:r>
        <w:rPr>
          <w:rFonts w:hint="eastAsia" w:ascii="仿宋_GB2312" w:hAnsi="仿宋_GB2312" w:eastAsia="仿宋_GB2312" w:cs="仿宋_GB2312"/>
          <w:b w:val="0"/>
          <w:bCs w:val="0"/>
          <w:color w:val="000000"/>
          <w:sz w:val="32"/>
          <w:szCs w:val="32"/>
          <w:lang w:eastAsia="zh-CN"/>
        </w:rPr>
        <w:t>，</w:t>
      </w:r>
      <w:r>
        <w:rPr>
          <w:rFonts w:hint="eastAsia" w:ascii="仿宋_GB2312" w:hAnsi="仿宋_GB2312" w:eastAsia="仿宋_GB2312" w:cs="仿宋_GB2312"/>
          <w:b w:val="0"/>
          <w:bCs w:val="0"/>
          <w:color w:val="000000"/>
          <w:sz w:val="32"/>
          <w:szCs w:val="32"/>
        </w:rPr>
        <w:t>长白山管委会医疗保障局</w:t>
      </w:r>
      <w:r>
        <w:rPr>
          <w:rFonts w:hint="eastAsia" w:ascii="仿宋_GB2312" w:hAnsi="仿宋_GB2312" w:eastAsia="仿宋_GB2312" w:cs="仿宋_GB2312"/>
          <w:b w:val="0"/>
          <w:bCs w:val="0"/>
          <w:color w:val="000000"/>
          <w:sz w:val="32"/>
          <w:szCs w:val="32"/>
          <w:lang w:eastAsia="zh-CN"/>
        </w:rPr>
        <w:t>，</w:t>
      </w:r>
      <w:r>
        <w:rPr>
          <w:rFonts w:hint="eastAsia" w:ascii="仿宋_GB2312" w:hAnsi="仿宋_GB2312" w:eastAsia="仿宋_GB2312" w:cs="仿宋_GB2312"/>
          <w:b w:val="0"/>
          <w:bCs w:val="0"/>
          <w:color w:val="000000"/>
          <w:sz w:val="32"/>
          <w:szCs w:val="32"/>
        </w:rPr>
        <w:t>梅河口市医疗保障局</w:t>
      </w:r>
      <w:r>
        <w:rPr>
          <w:rFonts w:hint="eastAsia" w:ascii="仿宋_GB2312" w:hAnsi="仿宋_GB2312" w:eastAsia="仿宋_GB2312" w:cs="仿宋_GB2312"/>
          <w:b w:val="0"/>
          <w:bCs w:val="0"/>
          <w:color w:val="000000"/>
          <w:sz w:val="32"/>
          <w:szCs w:val="32"/>
          <w:lang w:eastAsia="zh-CN"/>
        </w:rPr>
        <w:t>：</w:t>
      </w:r>
    </w:p>
    <w:p w14:paraId="60A21702">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rPr>
          <w:rFonts w:hint="eastAsia" w:ascii="仿宋_GB2312" w:hAnsi="仿宋_GB2312" w:eastAsia="仿宋_GB2312" w:cs="仿宋_GB2312"/>
          <w:b w:val="0"/>
          <w:bCs w:val="0"/>
          <w:color w:val="000000"/>
          <w:sz w:val="32"/>
          <w:szCs w:val="32"/>
          <w:lang w:eastAsia="zh-CN"/>
        </w:rPr>
      </w:pPr>
      <w:r>
        <w:rPr>
          <w:rFonts w:hint="eastAsia" w:ascii="仿宋_GB2312" w:hAnsi="仿宋_GB2312" w:eastAsia="仿宋_GB2312" w:cs="仿宋_GB2312"/>
          <w:b w:val="0"/>
          <w:bCs w:val="0"/>
          <w:color w:val="000000"/>
          <w:sz w:val="32"/>
          <w:szCs w:val="32"/>
          <w:lang w:eastAsia="zh-CN"/>
        </w:rPr>
        <w:t>《</w:t>
      </w:r>
      <w:r>
        <w:rPr>
          <w:rFonts w:hint="eastAsia" w:ascii="仿宋_GB2312" w:hAnsi="仿宋_GB2312" w:eastAsia="仿宋_GB2312" w:cs="仿宋_GB2312"/>
          <w:b w:val="0"/>
          <w:bCs w:val="0"/>
          <w:color w:val="000000"/>
          <w:sz w:val="32"/>
          <w:szCs w:val="32"/>
        </w:rPr>
        <w:t>吉林省医疗保障</w:t>
      </w:r>
      <w:r>
        <w:rPr>
          <w:rFonts w:hint="eastAsia" w:ascii="仿宋_GB2312" w:hAnsi="仿宋_GB2312" w:eastAsia="仿宋_GB2312" w:cs="仿宋_GB2312"/>
          <w:b w:val="0"/>
          <w:bCs w:val="0"/>
          <w:color w:val="000000"/>
          <w:sz w:val="32"/>
          <w:szCs w:val="32"/>
          <w:lang w:eastAsia="zh-CN"/>
        </w:rPr>
        <w:t>“</w:t>
      </w:r>
      <w:r>
        <w:rPr>
          <w:rFonts w:hint="eastAsia" w:ascii="仿宋_GB2312" w:hAnsi="仿宋_GB2312" w:eastAsia="仿宋_GB2312" w:cs="仿宋_GB2312"/>
          <w:b w:val="0"/>
          <w:bCs w:val="0"/>
          <w:color w:val="000000"/>
          <w:sz w:val="32"/>
          <w:szCs w:val="32"/>
        </w:rPr>
        <w:t>十</w:t>
      </w:r>
      <w:r>
        <w:rPr>
          <w:rFonts w:hint="eastAsia" w:ascii="仿宋_GB2312" w:hAnsi="仿宋_GB2312" w:eastAsia="仿宋_GB2312" w:cs="仿宋_GB2312"/>
          <w:b w:val="0"/>
          <w:bCs w:val="0"/>
          <w:color w:val="000000"/>
          <w:sz w:val="32"/>
          <w:szCs w:val="32"/>
          <w:lang w:val="en-US" w:eastAsia="zh-CN"/>
        </w:rPr>
        <w:t>五</w:t>
      </w:r>
      <w:r>
        <w:rPr>
          <w:rFonts w:hint="eastAsia" w:ascii="仿宋_GB2312" w:hAnsi="仿宋_GB2312" w:eastAsia="仿宋_GB2312" w:cs="仿宋_GB2312"/>
          <w:b w:val="0"/>
          <w:bCs w:val="0"/>
          <w:color w:val="000000"/>
          <w:sz w:val="32"/>
          <w:szCs w:val="32"/>
        </w:rPr>
        <w:t>五</w:t>
      </w:r>
      <w:r>
        <w:rPr>
          <w:rFonts w:hint="eastAsia" w:ascii="仿宋_GB2312" w:hAnsi="仿宋_GB2312" w:eastAsia="仿宋_GB2312" w:cs="仿宋_GB2312"/>
          <w:b w:val="0"/>
          <w:bCs w:val="0"/>
          <w:color w:val="000000"/>
          <w:sz w:val="32"/>
          <w:szCs w:val="32"/>
          <w:lang w:eastAsia="zh-CN"/>
        </w:rPr>
        <w:t>”</w:t>
      </w:r>
      <w:r>
        <w:rPr>
          <w:rFonts w:hint="eastAsia" w:ascii="仿宋_GB2312" w:hAnsi="仿宋_GB2312" w:eastAsia="仿宋_GB2312" w:cs="仿宋_GB2312"/>
          <w:b w:val="0"/>
          <w:bCs w:val="0"/>
          <w:color w:val="000000"/>
          <w:sz w:val="32"/>
          <w:szCs w:val="32"/>
        </w:rPr>
        <w:t>规划</w:t>
      </w:r>
      <w:r>
        <w:rPr>
          <w:rFonts w:hint="eastAsia" w:ascii="仿宋_GB2312" w:hAnsi="仿宋_GB2312" w:eastAsia="仿宋_GB2312" w:cs="仿宋_GB2312"/>
          <w:b w:val="0"/>
          <w:bCs w:val="0"/>
          <w:color w:val="000000"/>
          <w:sz w:val="32"/>
          <w:szCs w:val="32"/>
          <w:lang w:eastAsia="zh-CN"/>
        </w:rPr>
        <w:t>》</w:t>
      </w:r>
      <w:r>
        <w:rPr>
          <w:rFonts w:hint="eastAsia" w:ascii="仿宋_GB2312" w:hAnsi="仿宋_GB2312" w:eastAsia="仿宋_GB2312" w:cs="仿宋_GB2312"/>
          <w:b w:val="0"/>
          <w:bCs w:val="0"/>
          <w:color w:val="000000"/>
          <w:sz w:val="32"/>
          <w:szCs w:val="32"/>
        </w:rPr>
        <w:t>已经省政府同意</w:t>
      </w:r>
      <w:r>
        <w:rPr>
          <w:rFonts w:hint="eastAsia" w:ascii="仿宋_GB2312" w:hAnsi="仿宋_GB2312" w:eastAsia="仿宋_GB2312" w:cs="仿宋_GB2312"/>
          <w:b w:val="0"/>
          <w:bCs w:val="0"/>
          <w:color w:val="000000"/>
          <w:sz w:val="32"/>
          <w:szCs w:val="32"/>
          <w:lang w:eastAsia="zh-CN"/>
        </w:rPr>
        <w:t>，</w:t>
      </w:r>
      <w:r>
        <w:rPr>
          <w:rFonts w:hint="eastAsia" w:ascii="仿宋_GB2312" w:hAnsi="仿宋_GB2312" w:eastAsia="仿宋_GB2312" w:cs="仿宋_GB2312"/>
          <w:b w:val="0"/>
          <w:bCs w:val="0"/>
          <w:color w:val="000000"/>
          <w:sz w:val="32"/>
          <w:szCs w:val="32"/>
        </w:rPr>
        <w:t>现印发</w:t>
      </w:r>
      <w:r>
        <w:rPr>
          <w:rFonts w:hint="eastAsia" w:ascii="仿宋_GB2312" w:hAnsi="仿宋_GB2312" w:eastAsia="仿宋_GB2312" w:cs="仿宋_GB2312"/>
          <w:b w:val="0"/>
          <w:bCs w:val="0"/>
          <w:color w:val="000000"/>
          <w:sz w:val="32"/>
          <w:szCs w:val="32"/>
          <w:lang w:val="en-US" w:eastAsia="zh-CN"/>
        </w:rPr>
        <w:t>给</w:t>
      </w:r>
      <w:r>
        <w:rPr>
          <w:rFonts w:hint="eastAsia" w:ascii="仿宋_GB2312" w:hAnsi="仿宋_GB2312" w:eastAsia="仿宋_GB2312" w:cs="仿宋_GB2312"/>
          <w:b w:val="0"/>
          <w:bCs w:val="0"/>
          <w:color w:val="000000"/>
          <w:sz w:val="32"/>
          <w:szCs w:val="32"/>
        </w:rPr>
        <w:t>你们</w:t>
      </w:r>
      <w:r>
        <w:rPr>
          <w:rFonts w:hint="eastAsia" w:ascii="仿宋_GB2312" w:hAnsi="仿宋_GB2312" w:eastAsia="仿宋_GB2312" w:cs="仿宋_GB2312"/>
          <w:b w:val="0"/>
          <w:bCs w:val="0"/>
          <w:color w:val="000000"/>
          <w:sz w:val="32"/>
          <w:szCs w:val="32"/>
          <w:lang w:eastAsia="zh-CN"/>
        </w:rPr>
        <w:t>，</w:t>
      </w:r>
      <w:r>
        <w:rPr>
          <w:rFonts w:hint="eastAsia" w:ascii="仿宋_GB2312" w:hAnsi="仿宋_GB2312" w:eastAsia="仿宋_GB2312" w:cs="仿宋_GB2312"/>
          <w:b w:val="0"/>
          <w:bCs w:val="0"/>
          <w:color w:val="000000"/>
          <w:sz w:val="32"/>
          <w:szCs w:val="32"/>
        </w:rPr>
        <w:t>请</w:t>
      </w:r>
      <w:r>
        <w:rPr>
          <w:rFonts w:hint="eastAsia" w:ascii="仿宋_GB2312" w:hAnsi="仿宋_GB2312" w:eastAsia="仿宋_GB2312" w:cs="仿宋_GB2312"/>
          <w:b w:val="0"/>
          <w:bCs w:val="0"/>
          <w:color w:val="000000"/>
          <w:sz w:val="32"/>
          <w:szCs w:val="32"/>
          <w:lang w:val="en-US" w:eastAsia="zh-CN"/>
        </w:rPr>
        <w:t>结合实际认真贯彻落实</w:t>
      </w:r>
      <w:r>
        <w:rPr>
          <w:rFonts w:hint="eastAsia" w:ascii="仿宋_GB2312" w:hAnsi="仿宋_GB2312" w:eastAsia="仿宋_GB2312" w:cs="仿宋_GB2312"/>
          <w:b w:val="0"/>
          <w:bCs w:val="0"/>
          <w:color w:val="000000"/>
          <w:sz w:val="32"/>
          <w:szCs w:val="32"/>
          <w:lang w:eastAsia="zh-CN"/>
        </w:rPr>
        <w:t>。</w:t>
      </w:r>
    </w:p>
    <w:p w14:paraId="30610BF7">
      <w:pPr>
        <w:pStyle w:val="2"/>
        <w:keepNext w:val="0"/>
        <w:keepLines w:val="0"/>
        <w:pageBreakBefore w:val="0"/>
        <w:widowControl w:val="0"/>
        <w:kinsoku/>
        <w:wordWrap/>
        <w:overflowPunct/>
        <w:topLinePunct w:val="0"/>
        <w:autoSpaceDE/>
        <w:autoSpaceDN/>
        <w:bidi w:val="0"/>
        <w:adjustRightInd/>
        <w:spacing w:line="560" w:lineRule="exact"/>
        <w:ind w:left="0"/>
        <w:textAlignment w:val="auto"/>
        <w:rPr>
          <w:rFonts w:hint="eastAsia" w:ascii="仿宋_GB2312" w:hAnsi="仿宋_GB2312" w:eastAsia="仿宋_GB2312" w:cs="仿宋_GB2312"/>
          <w:b w:val="0"/>
          <w:bCs w:val="0"/>
          <w:color w:val="000000"/>
          <w:sz w:val="32"/>
          <w:szCs w:val="32"/>
          <w:lang w:eastAsia="zh-CN"/>
        </w:rPr>
      </w:pPr>
    </w:p>
    <w:p w14:paraId="6ECB22C3">
      <w:pPr>
        <w:pStyle w:val="3"/>
        <w:keepNext w:val="0"/>
        <w:keepLines w:val="0"/>
        <w:pageBreakBefore w:val="0"/>
        <w:widowControl w:val="0"/>
        <w:kinsoku/>
        <w:wordWrap/>
        <w:overflowPunct/>
        <w:topLinePunct w:val="0"/>
        <w:autoSpaceDE/>
        <w:autoSpaceDN/>
        <w:bidi w:val="0"/>
        <w:adjustRightInd/>
        <w:spacing w:line="560" w:lineRule="exact"/>
        <w:ind w:left="0"/>
        <w:textAlignment w:val="auto"/>
        <w:rPr>
          <w:rFonts w:hint="eastAsia" w:ascii="仿宋_GB2312" w:hAnsi="仿宋_GB2312" w:eastAsia="仿宋_GB2312" w:cs="仿宋_GB2312"/>
          <w:b w:val="0"/>
          <w:bCs w:val="0"/>
          <w:color w:val="000000"/>
          <w:sz w:val="32"/>
          <w:szCs w:val="32"/>
          <w:lang w:eastAsia="zh-CN"/>
        </w:rPr>
      </w:pPr>
    </w:p>
    <w:p w14:paraId="05281642">
      <w:pPr>
        <w:keepNext w:val="0"/>
        <w:keepLines w:val="0"/>
        <w:pageBreakBefore w:val="0"/>
        <w:widowControl w:val="0"/>
        <w:kinsoku/>
        <w:wordWrap/>
        <w:overflowPunct/>
        <w:topLinePunct w:val="0"/>
        <w:autoSpaceDE/>
        <w:autoSpaceDN/>
        <w:bidi w:val="0"/>
        <w:adjustRightInd/>
        <w:spacing w:line="560" w:lineRule="exact"/>
        <w:ind w:left="0"/>
        <w:textAlignment w:val="auto"/>
        <w:rPr>
          <w:rFonts w:hint="eastAsia" w:ascii="仿宋_GB2312" w:hAnsi="仿宋_GB2312" w:eastAsia="仿宋_GB2312" w:cs="仿宋_GB2312"/>
          <w:b w:val="0"/>
          <w:bCs w:val="0"/>
          <w:color w:val="000000"/>
          <w:sz w:val="32"/>
          <w:szCs w:val="32"/>
          <w:lang w:eastAsia="zh-CN"/>
        </w:rPr>
      </w:pPr>
    </w:p>
    <w:p w14:paraId="39FD04CC">
      <w:pPr>
        <w:pStyle w:val="2"/>
        <w:keepNext w:val="0"/>
        <w:keepLines w:val="0"/>
        <w:pageBreakBefore w:val="0"/>
        <w:widowControl w:val="0"/>
        <w:kinsoku/>
        <w:wordWrap/>
        <w:overflowPunct/>
        <w:topLinePunct w:val="0"/>
        <w:autoSpaceDE/>
        <w:autoSpaceDN/>
        <w:bidi w:val="0"/>
        <w:adjustRightInd/>
        <w:spacing w:line="560" w:lineRule="exact"/>
        <w:ind w:left="0" w:firstLine="5440" w:firstLineChars="1700"/>
        <w:textAlignment w:val="auto"/>
        <w:rPr>
          <w:rFonts w:hint="eastAsia" w:ascii="仿宋_GB2312" w:hAnsi="仿宋_GB2312" w:eastAsia="仿宋_GB2312" w:cs="仿宋_GB2312"/>
          <w:b w:val="0"/>
          <w:bCs w:val="0"/>
          <w:color w:val="000000"/>
          <w:sz w:val="32"/>
          <w:szCs w:val="32"/>
          <w:lang w:val="en-US" w:eastAsia="zh-CN"/>
        </w:rPr>
      </w:pPr>
      <w:r>
        <w:rPr>
          <w:rFonts w:hint="eastAsia" w:ascii="仿宋_GB2312" w:hAnsi="仿宋_GB2312" w:eastAsia="仿宋_GB2312" w:cs="仿宋_GB2312"/>
          <w:b w:val="0"/>
          <w:bCs w:val="0"/>
          <w:color w:val="000000"/>
          <w:sz w:val="32"/>
          <w:szCs w:val="32"/>
          <w:lang w:val="en-US" w:eastAsia="zh-CN"/>
        </w:rPr>
        <w:t>吉林省医疗保障局</w:t>
      </w:r>
    </w:p>
    <w:p w14:paraId="4443E00F">
      <w:pPr>
        <w:pStyle w:val="3"/>
        <w:keepNext w:val="0"/>
        <w:keepLines w:val="0"/>
        <w:pageBreakBefore w:val="0"/>
        <w:widowControl w:val="0"/>
        <w:kinsoku/>
        <w:wordWrap/>
        <w:overflowPunct/>
        <w:topLinePunct w:val="0"/>
        <w:autoSpaceDE/>
        <w:autoSpaceDN/>
        <w:bidi w:val="0"/>
        <w:adjustRightInd/>
        <w:spacing w:line="560" w:lineRule="exact"/>
        <w:ind w:left="0" w:firstLine="5440" w:firstLineChars="1700"/>
        <w:textAlignment w:val="auto"/>
        <w:rPr>
          <w:rFonts w:hint="eastAsia" w:ascii="仿宋_GB2312" w:hAnsi="仿宋_GB2312" w:eastAsia="仿宋_GB2312" w:cs="仿宋_GB2312"/>
          <w:b w:val="0"/>
          <w:bCs w:val="0"/>
          <w:color w:val="000000"/>
          <w:sz w:val="32"/>
          <w:szCs w:val="32"/>
          <w:lang w:val="en-US" w:eastAsia="zh-CN"/>
        </w:rPr>
      </w:pPr>
      <w:r>
        <w:rPr>
          <w:rFonts w:hint="eastAsia" w:ascii="仿宋_GB2312" w:hAnsi="仿宋_GB2312" w:eastAsia="仿宋_GB2312" w:cs="仿宋_GB2312"/>
          <w:b w:val="0"/>
          <w:bCs w:val="0"/>
          <w:color w:val="000000"/>
          <w:sz w:val="32"/>
          <w:szCs w:val="32"/>
          <w:lang w:val="en-US" w:eastAsia="zh-CN"/>
        </w:rPr>
        <w:t>2026年9月30日</w:t>
      </w:r>
    </w:p>
    <w:p w14:paraId="6DC966A2">
      <w:pPr>
        <w:keepNext w:val="0"/>
        <w:keepLines w:val="0"/>
        <w:pageBreakBefore w:val="0"/>
        <w:widowControl w:val="0"/>
        <w:kinsoku/>
        <w:wordWrap/>
        <w:overflowPunct/>
        <w:topLinePunct w:val="0"/>
        <w:autoSpaceDE/>
        <w:autoSpaceDN/>
        <w:bidi w:val="0"/>
        <w:adjustRightInd/>
        <w:spacing w:line="560" w:lineRule="exact"/>
        <w:ind w:left="0" w:firstLine="640" w:firstLineChars="200"/>
        <w:textAlignment w:val="auto"/>
        <w:rPr>
          <w:rFonts w:hint="default"/>
          <w:sz w:val="32"/>
          <w:szCs w:val="32"/>
          <w:lang w:val="en-US" w:eastAsia="zh-CN"/>
        </w:rPr>
      </w:pPr>
      <w:r>
        <w:rPr>
          <w:rFonts w:hint="eastAsia" w:ascii="仿宋_GB2312" w:hAnsi="仿宋_GB2312" w:eastAsia="仿宋_GB2312" w:cs="仿宋_GB2312"/>
          <w:b w:val="0"/>
          <w:bCs w:val="0"/>
          <w:color w:val="000000"/>
          <w:sz w:val="32"/>
          <w:szCs w:val="32"/>
          <w:lang w:val="en-US" w:eastAsia="zh-CN"/>
        </w:rPr>
        <w:t>（此件主动公开）</w:t>
      </w:r>
    </w:p>
    <w:p w14:paraId="22D4BFCB">
      <w:pPr>
        <w:pStyle w:val="3"/>
        <w:rPr>
          <w:rFonts w:hint="eastAsia"/>
          <w:sz w:val="32"/>
          <w:szCs w:val="32"/>
          <w:lang w:eastAsia="zh-CN"/>
        </w:rPr>
      </w:pPr>
    </w:p>
    <w:p w14:paraId="08ECC18B">
      <w:pPr>
        <w:pStyle w:val="2"/>
        <w:rPr>
          <w:rFonts w:hint="eastAsia"/>
          <w:lang w:val="en-US" w:eastAsia="zh-CN"/>
        </w:rPr>
      </w:pPr>
    </w:p>
    <w:p w14:paraId="47425A80">
      <w:pPr>
        <w:pStyle w:val="3"/>
        <w:rPr>
          <w:rFonts w:hint="eastAsia"/>
          <w:lang w:val="en-US" w:eastAsia="zh-CN"/>
        </w:rPr>
      </w:pPr>
    </w:p>
    <w:p w14:paraId="58AA004B">
      <w:pPr>
        <w:rPr>
          <w:rFonts w:hint="eastAsia"/>
          <w:lang w:val="en-US" w:eastAsia="zh-CN"/>
        </w:rPr>
      </w:pPr>
    </w:p>
    <w:p w14:paraId="7E7CA453">
      <w:pPr>
        <w:pStyle w:val="2"/>
        <w:rPr>
          <w:rFonts w:hint="eastAsia"/>
          <w:lang w:val="en-US" w:eastAsia="zh-CN"/>
        </w:rPr>
      </w:pPr>
    </w:p>
    <w:p w14:paraId="6E422490">
      <w:pPr>
        <w:pStyle w:val="3"/>
        <w:rPr>
          <w:rFonts w:hint="eastAsia"/>
          <w:lang w:val="en-US" w:eastAsia="zh-CN"/>
        </w:rPr>
      </w:pPr>
    </w:p>
    <w:p w14:paraId="5464BD0E">
      <w:pPr>
        <w:rPr>
          <w:rFonts w:hint="eastAsia"/>
          <w:lang w:val="en-US" w:eastAsia="zh-CN"/>
        </w:rPr>
      </w:pPr>
    </w:p>
    <w:p w14:paraId="353EFBBE">
      <w:pPr>
        <w:pStyle w:val="2"/>
        <w:rPr>
          <w:rFonts w:hint="eastAsia"/>
          <w:lang w:val="en-US" w:eastAsia="zh-CN"/>
        </w:rPr>
      </w:pPr>
    </w:p>
    <w:p w14:paraId="7E814223">
      <w:pPr>
        <w:pStyle w:val="3"/>
        <w:rPr>
          <w:rFonts w:hint="eastAsia"/>
          <w:lang w:val="en-US" w:eastAsia="zh-CN"/>
        </w:rPr>
      </w:pPr>
    </w:p>
    <w:p w14:paraId="51D0F310">
      <w:pPr>
        <w:rPr>
          <w:rFonts w:hint="eastAsia"/>
          <w:lang w:val="en-US" w:eastAsia="zh-CN"/>
        </w:rPr>
      </w:pPr>
    </w:p>
    <w:p w14:paraId="4F36AF03">
      <w:pPr>
        <w:pStyle w:val="2"/>
        <w:rPr>
          <w:rFonts w:hint="eastAsia"/>
          <w:lang w:val="en-US" w:eastAsia="zh-CN"/>
        </w:rPr>
      </w:pPr>
    </w:p>
    <w:p w14:paraId="63B1B251">
      <w:pPr>
        <w:pStyle w:val="3"/>
        <w:rPr>
          <w:rFonts w:hint="eastAsia"/>
          <w:lang w:val="en-US" w:eastAsia="zh-CN"/>
        </w:rPr>
      </w:pPr>
    </w:p>
    <w:p w14:paraId="25BDB2AC">
      <w:pPr>
        <w:pStyle w:val="3"/>
        <w:rPr>
          <w:rFonts w:hint="eastAsia"/>
          <w:lang w:val="en-US" w:eastAsia="zh-CN"/>
        </w:rPr>
      </w:pPr>
    </w:p>
    <w:p w14:paraId="502ED314">
      <w:pPr>
        <w:rPr>
          <w:rFonts w:hint="eastAsia"/>
          <w:lang w:val="en-US" w:eastAsia="zh-CN"/>
        </w:rPr>
      </w:pPr>
    </w:p>
    <w:p w14:paraId="5E73DD47">
      <w:pPr>
        <w:pStyle w:val="2"/>
        <w:rPr>
          <w:rFonts w:hint="eastAsia"/>
          <w:lang w:val="en-US" w:eastAsia="zh-CN"/>
        </w:rPr>
      </w:pPr>
    </w:p>
    <w:p w14:paraId="58872C0B">
      <w:pPr>
        <w:pStyle w:val="3"/>
        <w:rPr>
          <w:rFonts w:hint="eastAsia"/>
          <w:lang w:val="en-US" w:eastAsia="zh-CN"/>
        </w:rPr>
      </w:pPr>
    </w:p>
    <w:p w14:paraId="7C2E9101">
      <w:pPr>
        <w:rPr>
          <w:rFonts w:hint="eastAsia"/>
          <w:lang w:val="en-US" w:eastAsia="zh-CN"/>
        </w:rPr>
      </w:pPr>
    </w:p>
    <w:p w14:paraId="52748CAA">
      <w:pPr>
        <w:pStyle w:val="2"/>
        <w:rPr>
          <w:rFonts w:hint="eastAsia"/>
          <w:lang w:val="en-US" w:eastAsia="zh-CN"/>
        </w:rPr>
      </w:pPr>
    </w:p>
    <w:p w14:paraId="5EAA366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auto"/>
          <w:sz w:val="44"/>
          <w:szCs w:val="44"/>
          <w:highlight w:val="none"/>
          <w:lang w:val="en-US" w:eastAsia="zh-CN"/>
        </w:rPr>
      </w:pPr>
      <w:r>
        <w:rPr>
          <w:rFonts w:hint="eastAsia" w:ascii="方正小标宋简体" w:hAnsi="方正小标宋简体" w:eastAsia="方正小标宋简体" w:cs="方正小标宋简体"/>
          <w:color w:val="auto"/>
          <w:sz w:val="44"/>
          <w:szCs w:val="44"/>
          <w:highlight w:val="none"/>
          <w:lang w:val="en-US" w:eastAsia="zh-CN"/>
        </w:rPr>
        <w:t>吉林省医疗保障“十五五”规划</w:t>
      </w:r>
    </w:p>
    <w:p w14:paraId="1612E6F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sz w:val="32"/>
          <w:szCs w:val="32"/>
          <w:highlight w:val="none"/>
          <w:lang w:val="en-US" w:eastAsia="zh-CN"/>
        </w:rPr>
      </w:pPr>
    </w:p>
    <w:p w14:paraId="733FC82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宋体" w:eastAsia="仿宋_GB2312" w:cs="宋体"/>
          <w:color w:val="auto"/>
          <w:kern w:val="0"/>
          <w:sz w:val="32"/>
          <w:szCs w:val="32"/>
          <w:highlight w:val="none"/>
        </w:rPr>
      </w:pPr>
      <w:r>
        <w:rPr>
          <w:rFonts w:hint="eastAsia" w:ascii="黑体" w:hAnsi="黑体" w:eastAsia="黑体" w:cs="黑体"/>
          <w:color w:val="auto"/>
          <w:szCs w:val="28"/>
          <w:highlight w:val="none"/>
          <w:lang w:val="en-US" w:eastAsia="zh-CN"/>
        </w:rPr>
        <w:t xml:space="preserve">     </w:t>
      </w:r>
      <w:r>
        <w:rPr>
          <w:rFonts w:hint="eastAsia" w:ascii="黑体" w:hAnsi="黑体" w:eastAsia="黑体" w:cs="黑体"/>
          <w:color w:val="auto"/>
          <w:sz w:val="32"/>
          <w:szCs w:val="32"/>
          <w:highlight w:val="none"/>
          <w:lang w:val="en-US" w:eastAsia="zh-CN"/>
        </w:rPr>
        <w:t xml:space="preserve"> </w:t>
      </w:r>
      <w:r>
        <w:rPr>
          <w:rFonts w:hint="eastAsia" w:ascii="仿宋_GB2312" w:hAnsi="微软雅黑" w:eastAsia="仿宋_GB2312"/>
          <w:color w:val="auto"/>
          <w:sz w:val="32"/>
          <w:szCs w:val="32"/>
          <w:highlight w:val="none"/>
          <w:shd w:val="clear" w:color="auto" w:fill="FFFFFF"/>
        </w:rPr>
        <w:t>为</w:t>
      </w:r>
      <w:r>
        <w:rPr>
          <w:rFonts w:hint="eastAsia" w:ascii="仿宋_GB2312" w:hAnsi="微软雅黑" w:eastAsia="仿宋_GB2312"/>
          <w:color w:val="auto"/>
          <w:sz w:val="32"/>
          <w:szCs w:val="32"/>
          <w:highlight w:val="none"/>
          <w:shd w:val="clear" w:color="auto" w:fill="FFFFFF"/>
          <w:lang w:val="en-US" w:eastAsia="zh-CN"/>
        </w:rPr>
        <w:t>保障“十五五”期间</w:t>
      </w:r>
      <w:r>
        <w:rPr>
          <w:rFonts w:hint="eastAsia" w:ascii="仿宋_GB2312" w:hAnsi="微软雅黑" w:eastAsia="仿宋_GB2312"/>
          <w:color w:val="auto"/>
          <w:sz w:val="32"/>
          <w:szCs w:val="32"/>
          <w:highlight w:val="none"/>
          <w:shd w:val="clear" w:color="auto" w:fill="FFFFFF"/>
        </w:rPr>
        <w:t>吉林省医疗保障事业高质量发展，依据国家</w:t>
      </w:r>
      <w:r>
        <w:rPr>
          <w:rFonts w:hint="eastAsia" w:ascii="仿宋_GB2312" w:hAnsi="微软雅黑" w:eastAsia="仿宋_GB2312"/>
          <w:color w:val="auto"/>
          <w:sz w:val="32"/>
          <w:szCs w:val="32"/>
          <w:highlight w:val="none"/>
          <w:shd w:val="clear" w:color="auto" w:fill="FFFFFF"/>
          <w:lang w:val="en-US" w:eastAsia="zh-CN"/>
        </w:rPr>
        <w:t>医疗保障局</w:t>
      </w:r>
      <w:r>
        <w:rPr>
          <w:rFonts w:hint="eastAsia" w:ascii="仿宋_GB2312" w:hAnsi="微软雅黑" w:eastAsia="仿宋_GB2312"/>
          <w:color w:val="auto"/>
          <w:sz w:val="32"/>
          <w:szCs w:val="32"/>
          <w:highlight w:val="none"/>
          <w:shd w:val="clear" w:color="auto" w:fill="FFFFFF"/>
        </w:rPr>
        <w:t>《全民医疗保障“十五五”规划》和</w:t>
      </w:r>
      <w:r>
        <w:rPr>
          <w:rFonts w:hint="eastAsia" w:ascii="仿宋_GB2312" w:hAnsi="宋体" w:eastAsia="仿宋_GB2312" w:cs="宋体"/>
          <w:color w:val="auto"/>
          <w:kern w:val="0"/>
          <w:sz w:val="32"/>
          <w:szCs w:val="32"/>
          <w:highlight w:val="none"/>
        </w:rPr>
        <w:t>《吉林省国民经济和社会发展第十五个五年规划纲要》要求，制定本规划。</w:t>
      </w:r>
    </w:p>
    <w:p w14:paraId="0B99F8B9">
      <w:pPr>
        <w:pStyle w:val="4"/>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Chars="200"/>
        <w:jc w:val="both"/>
        <w:textAlignment w:val="auto"/>
        <w:outlineLvl w:val="0"/>
        <w:rPr>
          <w:rFonts w:hint="eastAsia" w:ascii="黑体" w:hAnsi="黑体" w:eastAsia="黑体" w:cs="黑体"/>
          <w:b w:val="0"/>
          <w:bCs w:val="0"/>
          <w:color w:val="auto"/>
          <w:sz w:val="32"/>
          <w:szCs w:val="32"/>
          <w:highlight w:val="none"/>
        </w:rPr>
      </w:pPr>
      <w:bookmarkStart w:id="0" w:name="_Toc15614"/>
      <w:bookmarkStart w:id="1" w:name="_Toc13242"/>
      <w:bookmarkStart w:id="2" w:name="_Toc21542"/>
      <w:bookmarkStart w:id="3" w:name="_Toc25620"/>
      <w:bookmarkStart w:id="4" w:name="_Toc32384"/>
      <w:bookmarkStart w:id="5" w:name="_Toc12864"/>
      <w:bookmarkStart w:id="6" w:name="_Toc8918"/>
      <w:bookmarkStart w:id="7" w:name="_Toc7976"/>
      <w:bookmarkStart w:id="8" w:name="_Toc29944"/>
      <w:bookmarkStart w:id="9" w:name="_Toc22319"/>
      <w:bookmarkStart w:id="10" w:name="_Toc32286"/>
      <w:bookmarkStart w:id="11" w:name="_Toc8388"/>
      <w:bookmarkStart w:id="12" w:name="_Toc7220"/>
      <w:bookmarkStart w:id="13" w:name="_Toc28372"/>
      <w:bookmarkStart w:id="14" w:name="_Toc9589"/>
      <w:bookmarkStart w:id="15" w:name="_Toc17521"/>
      <w:bookmarkStart w:id="16" w:name="_Toc9726"/>
      <w:bookmarkStart w:id="17" w:name="_Toc15403"/>
      <w:bookmarkStart w:id="18" w:name="_Toc31127"/>
      <w:bookmarkStart w:id="19" w:name="_Toc1857"/>
      <w:bookmarkStart w:id="20" w:name="_Toc932"/>
      <w:bookmarkStart w:id="21" w:name="_Toc5090"/>
      <w:bookmarkStart w:id="22" w:name="_Toc32654"/>
      <w:bookmarkStart w:id="23" w:name="_Toc12036"/>
      <w:bookmarkStart w:id="24" w:name="_Toc21508"/>
      <w:bookmarkStart w:id="25" w:name="_Toc967"/>
      <w:bookmarkStart w:id="26" w:name="_Toc238"/>
      <w:bookmarkStart w:id="27" w:name="_Toc24855"/>
      <w:bookmarkStart w:id="28" w:name="_Toc24593"/>
      <w:bookmarkStart w:id="29" w:name="_Toc11700"/>
      <w:bookmarkStart w:id="30" w:name="_Toc13224"/>
      <w:bookmarkStart w:id="31" w:name="_Toc32229"/>
      <w:bookmarkStart w:id="32" w:name="_Toc8145"/>
      <w:bookmarkStart w:id="33" w:name="_Toc28833"/>
      <w:bookmarkStart w:id="34" w:name="_Toc7744"/>
      <w:bookmarkStart w:id="35" w:name="_Toc29274"/>
      <w:bookmarkStart w:id="36" w:name="_Toc5164"/>
      <w:bookmarkStart w:id="37" w:name="_Toc25596"/>
      <w:bookmarkStart w:id="38" w:name="_Toc28133"/>
      <w:bookmarkStart w:id="39" w:name="_Toc29558"/>
      <w:bookmarkStart w:id="40" w:name="_Toc4941"/>
      <w:bookmarkStart w:id="41" w:name="_Toc20504"/>
      <w:bookmarkStart w:id="42" w:name="_Toc7357"/>
      <w:bookmarkStart w:id="43" w:name="_Toc4418"/>
      <w:bookmarkStart w:id="44" w:name="_Toc15896"/>
      <w:bookmarkStart w:id="45" w:name="_Toc30324"/>
      <w:bookmarkStart w:id="46" w:name="_Toc31564"/>
      <w:bookmarkStart w:id="47" w:name="_Toc3770"/>
      <w:bookmarkStart w:id="48" w:name="_Toc5570"/>
      <w:bookmarkStart w:id="49" w:name="_Toc31295"/>
      <w:bookmarkStart w:id="50" w:name="_Toc3623"/>
      <w:bookmarkStart w:id="51" w:name="_Toc9287"/>
      <w:bookmarkStart w:id="52" w:name="_Toc30760"/>
      <w:bookmarkStart w:id="53" w:name="_Toc4172"/>
      <w:bookmarkStart w:id="54" w:name="_Toc8686"/>
      <w:bookmarkStart w:id="55" w:name="_Toc23246"/>
      <w:bookmarkStart w:id="56" w:name="_Toc17447"/>
      <w:bookmarkStart w:id="57" w:name="_Toc32533"/>
      <w:bookmarkStart w:id="58" w:name="_Toc5829"/>
      <w:bookmarkStart w:id="59" w:name="_Toc13975"/>
      <w:bookmarkStart w:id="60" w:name="_Toc13033"/>
      <w:bookmarkStart w:id="61" w:name="_Toc11799"/>
      <w:bookmarkStart w:id="62" w:name="_Toc30604"/>
      <w:bookmarkStart w:id="63" w:name="_Toc26560"/>
      <w:bookmarkStart w:id="64" w:name="_Toc11939"/>
      <w:bookmarkStart w:id="65" w:name="_Toc19729"/>
      <w:bookmarkStart w:id="66" w:name="_Toc3320"/>
      <w:bookmarkStart w:id="67" w:name="_Toc5888"/>
      <w:r>
        <w:rPr>
          <w:rFonts w:hint="eastAsia" w:ascii="黑体" w:hAnsi="黑体" w:eastAsia="黑体" w:cs="黑体"/>
          <w:b w:val="0"/>
          <w:bCs w:val="0"/>
          <w:color w:val="auto"/>
          <w:sz w:val="32"/>
          <w:szCs w:val="32"/>
          <w:highlight w:val="none"/>
        </w:rPr>
        <w:t>一、总体要求</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p>
    <w:p w14:paraId="4012D9D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坚持以习近平新时代中国特色社会主义思想为指导，深入贯彻党的二十大和二十届历次全会精神，认真落实四中全会部署，全面贯彻习近平总书记关于医疗保障的重要论述和对吉林工作的重要指示要求，落实省委省政府的工作安排，以人民健康为中心，以改革创新为动力，以更好解决人民群众医疗后顾之忧为根本目的，整体谋划、系统治理，尽力而为、量力而行，努力为人民群众提供更可靠、更充分、更有价值的医疗保障，不断提升人民群众的获得感、幸福感、安全感，为吉林实现高质量发展明显进位、全面振兴取得新突破提供有力保障。</w:t>
      </w:r>
    </w:p>
    <w:p w14:paraId="114094D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color w:val="auto"/>
          <w:sz w:val="28"/>
          <w:szCs w:val="28"/>
          <w:highlight w:val="none"/>
          <w:lang w:val="en-US" w:eastAsia="zh-CN"/>
        </w:rPr>
      </w:pPr>
      <w:r>
        <w:rPr>
          <w:rFonts w:hint="eastAsia" w:ascii="仿宋_GB2312" w:hAnsi="仿宋_GB2312" w:eastAsia="仿宋_GB2312" w:cs="仿宋_GB2312"/>
          <w:color w:val="auto"/>
          <w:sz w:val="32"/>
          <w:szCs w:val="32"/>
          <w:highlight w:val="none"/>
          <w:lang w:val="en-US" w:eastAsia="zh-CN"/>
        </w:rPr>
        <w:t>到2030年，建成覆盖全民、统筹城乡、公平统一、安全规范、可持续的多层次医疗保障体系。实现公平医保普惠均衡、法治医保规范完善、安全医保持续稳健、数智医保便捷高效、协同医保同频共振、科学医保加快推进的现代化治理体系。</w:t>
      </w:r>
    </w:p>
    <w:tbl>
      <w:tblPr>
        <w:tblStyle w:val="15"/>
        <w:tblW w:w="484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3605"/>
        <w:gridCol w:w="2046"/>
        <w:gridCol w:w="1753"/>
        <w:gridCol w:w="1371"/>
      </w:tblGrid>
      <w:tr w14:paraId="0B065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04" w:hRule="atLeast"/>
          <w:tblHeader/>
          <w:jc w:val="center"/>
        </w:trPr>
        <w:tc>
          <w:tcPr>
            <w:tcW w:w="5000" w:type="pct"/>
            <w:gridSpan w:val="4"/>
            <w:noWrap w:val="0"/>
            <w:tcMar>
              <w:left w:w="108" w:type="dxa"/>
              <w:right w:w="108" w:type="dxa"/>
            </w:tcMar>
            <w:vAlign w:val="center"/>
          </w:tcPr>
          <w:p w14:paraId="4E7FCB98">
            <w:pPr>
              <w:spacing w:line="560" w:lineRule="exact"/>
              <w:ind w:firstLine="560" w:firstLineChars="200"/>
              <w:jc w:val="center"/>
              <w:rPr>
                <w:rFonts w:hint="default" w:ascii="Times New Roman" w:hAnsi="Times New Roman" w:eastAsia="黑体" w:cs="Times New Roman"/>
                <w:b w:val="0"/>
                <w:bCs w:val="0"/>
                <w:color w:val="auto"/>
                <w:kern w:val="0"/>
                <w:szCs w:val="21"/>
                <w:highlight w:val="none"/>
                <w:lang w:val="en-US" w:eastAsia="zh-CN" w:bidi="ar"/>
              </w:rPr>
            </w:pPr>
            <w:r>
              <w:rPr>
                <w:rFonts w:hint="default" w:ascii="Times New Roman" w:hAnsi="Times New Roman" w:eastAsia="黑体" w:cs="Times New Roman"/>
                <w:color w:val="auto"/>
                <w:kern w:val="0"/>
                <w:sz w:val="28"/>
                <w:szCs w:val="28"/>
                <w:highlight w:val="none"/>
              </w:rPr>
              <w:t>“十五五”时期</w:t>
            </w:r>
            <w:r>
              <w:rPr>
                <w:rFonts w:hint="default" w:ascii="Times New Roman" w:hAnsi="Times New Roman" w:eastAsia="黑体" w:cs="Times New Roman"/>
                <w:color w:val="auto"/>
                <w:kern w:val="0"/>
                <w:sz w:val="28"/>
                <w:szCs w:val="28"/>
                <w:highlight w:val="none"/>
                <w:lang w:val="en-US" w:eastAsia="zh-CN"/>
              </w:rPr>
              <w:t>吉林</w:t>
            </w:r>
            <w:r>
              <w:rPr>
                <w:rFonts w:hint="default" w:ascii="Times New Roman" w:hAnsi="Times New Roman" w:eastAsia="黑体" w:cs="Times New Roman"/>
                <w:color w:val="auto"/>
                <w:kern w:val="0"/>
                <w:sz w:val="28"/>
                <w:szCs w:val="28"/>
                <w:highlight w:val="none"/>
              </w:rPr>
              <w:t>省医疗保障发展主要</w:t>
            </w:r>
            <w:r>
              <w:rPr>
                <w:rFonts w:hint="default" w:ascii="Times New Roman" w:hAnsi="Times New Roman" w:eastAsia="黑体" w:cs="Times New Roman"/>
                <w:color w:val="auto"/>
                <w:kern w:val="0"/>
                <w:sz w:val="28"/>
                <w:szCs w:val="28"/>
                <w:highlight w:val="none"/>
                <w:lang w:val="en-US" w:eastAsia="zh-CN"/>
              </w:rPr>
              <w:t>指标</w:t>
            </w:r>
          </w:p>
        </w:tc>
      </w:tr>
      <w:tr w14:paraId="45D8B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17" w:hRule="atLeast"/>
          <w:tblHeader/>
          <w:jc w:val="center"/>
        </w:trPr>
        <w:tc>
          <w:tcPr>
            <w:tcW w:w="2054" w:type="pct"/>
            <w:shd w:val="clear" w:color="auto" w:fill="auto"/>
            <w:noWrap w:val="0"/>
            <w:tcMar>
              <w:left w:w="108" w:type="dxa"/>
              <w:right w:w="108" w:type="dxa"/>
            </w:tcMar>
            <w:vAlign w:val="center"/>
          </w:tcPr>
          <w:p w14:paraId="6721FC07">
            <w:pPr>
              <w:keepNext w:val="0"/>
              <w:keepLines w:val="0"/>
              <w:widowControl w:val="0"/>
              <w:suppressLineNumbers w:val="0"/>
              <w:spacing w:before="0" w:beforeAutospacing="0" w:after="0" w:afterAutospacing="0"/>
              <w:ind w:left="0" w:leftChars="0" w:right="0" w:rightChars="0"/>
              <w:jc w:val="center"/>
              <w:textAlignment w:val="center"/>
              <w:rPr>
                <w:rFonts w:hint="default" w:ascii="Times New Roman" w:hAnsi="Times New Roman" w:eastAsia="黑体" w:cs="Times New Roman"/>
                <w:b w:val="0"/>
                <w:bCs w:val="0"/>
                <w:color w:val="auto"/>
                <w:kern w:val="2"/>
                <w:sz w:val="21"/>
                <w:szCs w:val="21"/>
                <w:highlight w:val="none"/>
                <w:lang w:val="en-US" w:eastAsia="zh-CN" w:bidi="ar-SA"/>
              </w:rPr>
            </w:pPr>
            <w:r>
              <w:rPr>
                <w:rFonts w:hint="default" w:ascii="Times New Roman" w:hAnsi="Times New Roman" w:eastAsia="黑体" w:cs="Times New Roman"/>
                <w:b w:val="0"/>
                <w:bCs w:val="0"/>
                <w:color w:val="auto"/>
                <w:kern w:val="0"/>
                <w:szCs w:val="21"/>
                <w:highlight w:val="none"/>
                <w:lang w:bidi="ar"/>
              </w:rPr>
              <w:t>主 要 指 标</w:t>
            </w:r>
          </w:p>
        </w:tc>
        <w:tc>
          <w:tcPr>
            <w:tcW w:w="1166" w:type="pct"/>
            <w:shd w:val="clear" w:color="auto" w:fill="auto"/>
            <w:noWrap w:val="0"/>
            <w:tcMar>
              <w:left w:w="108" w:type="dxa"/>
              <w:right w:w="108" w:type="dxa"/>
            </w:tcMar>
            <w:vAlign w:val="center"/>
          </w:tcPr>
          <w:p w14:paraId="7C6308BD">
            <w:pPr>
              <w:keepNext w:val="0"/>
              <w:keepLines w:val="0"/>
              <w:widowControl w:val="0"/>
              <w:suppressLineNumbers w:val="0"/>
              <w:spacing w:before="0" w:beforeAutospacing="0" w:after="0" w:afterAutospacing="0"/>
              <w:ind w:left="0" w:leftChars="0" w:right="0" w:rightChars="0"/>
              <w:jc w:val="center"/>
              <w:textAlignment w:val="center"/>
              <w:rPr>
                <w:rFonts w:hint="default" w:ascii="Times New Roman" w:hAnsi="Times New Roman" w:eastAsia="黑体" w:cs="Times New Roman"/>
                <w:b w:val="0"/>
                <w:bCs w:val="0"/>
                <w:color w:val="auto"/>
                <w:kern w:val="2"/>
                <w:sz w:val="21"/>
                <w:szCs w:val="21"/>
                <w:highlight w:val="none"/>
                <w:lang w:val="en-US" w:eastAsia="zh-CN" w:bidi="ar-SA"/>
              </w:rPr>
            </w:pPr>
            <w:r>
              <w:rPr>
                <w:rFonts w:hint="default" w:ascii="Times New Roman" w:hAnsi="Times New Roman" w:eastAsia="黑体" w:cs="Times New Roman"/>
                <w:b w:val="0"/>
                <w:bCs w:val="0"/>
                <w:color w:val="auto"/>
                <w:kern w:val="0"/>
                <w:szCs w:val="21"/>
                <w:highlight w:val="none"/>
                <w:lang w:val="en-US" w:eastAsia="zh-CN" w:bidi="ar"/>
              </w:rPr>
              <w:t>2025年</w:t>
            </w:r>
          </w:p>
        </w:tc>
        <w:tc>
          <w:tcPr>
            <w:tcW w:w="999" w:type="pct"/>
            <w:shd w:val="clear" w:color="auto" w:fill="auto"/>
            <w:noWrap w:val="0"/>
            <w:tcMar>
              <w:left w:w="108" w:type="dxa"/>
              <w:right w:w="108" w:type="dxa"/>
            </w:tcMar>
            <w:vAlign w:val="center"/>
          </w:tcPr>
          <w:p w14:paraId="68510201">
            <w:pPr>
              <w:keepNext w:val="0"/>
              <w:keepLines w:val="0"/>
              <w:widowControl w:val="0"/>
              <w:suppressLineNumbers w:val="0"/>
              <w:spacing w:before="0" w:beforeAutospacing="0" w:after="0" w:afterAutospacing="0"/>
              <w:ind w:left="0" w:leftChars="0" w:right="0" w:rightChars="0"/>
              <w:jc w:val="center"/>
              <w:textAlignment w:val="center"/>
              <w:rPr>
                <w:rFonts w:hint="default" w:ascii="Times New Roman" w:hAnsi="Times New Roman" w:eastAsia="黑体" w:cs="Times New Roman"/>
                <w:b w:val="0"/>
                <w:bCs w:val="0"/>
                <w:color w:val="auto"/>
                <w:kern w:val="2"/>
                <w:sz w:val="21"/>
                <w:szCs w:val="21"/>
                <w:highlight w:val="none"/>
                <w:lang w:val="en-US" w:eastAsia="zh-CN" w:bidi="ar-SA"/>
              </w:rPr>
            </w:pPr>
            <w:r>
              <w:rPr>
                <w:rFonts w:hint="default" w:ascii="Times New Roman" w:hAnsi="Times New Roman" w:eastAsia="黑体" w:cs="Times New Roman"/>
                <w:b w:val="0"/>
                <w:bCs w:val="0"/>
                <w:color w:val="auto"/>
                <w:kern w:val="0"/>
                <w:szCs w:val="21"/>
                <w:highlight w:val="none"/>
                <w:lang w:bidi="ar"/>
              </w:rPr>
              <w:t>2030年</w:t>
            </w:r>
          </w:p>
        </w:tc>
        <w:tc>
          <w:tcPr>
            <w:tcW w:w="779" w:type="pct"/>
            <w:shd w:val="clear" w:color="auto" w:fill="auto"/>
            <w:noWrap w:val="0"/>
            <w:tcMar>
              <w:left w:w="108" w:type="dxa"/>
              <w:right w:w="108" w:type="dxa"/>
            </w:tcMar>
            <w:vAlign w:val="center"/>
          </w:tcPr>
          <w:p w14:paraId="75224DB4">
            <w:pPr>
              <w:keepNext w:val="0"/>
              <w:keepLines w:val="0"/>
              <w:widowControl w:val="0"/>
              <w:suppressLineNumbers w:val="0"/>
              <w:spacing w:before="0" w:beforeAutospacing="0" w:after="0" w:afterAutospacing="0"/>
              <w:ind w:left="0" w:leftChars="0" w:right="0" w:rightChars="0"/>
              <w:jc w:val="center"/>
              <w:textAlignment w:val="center"/>
              <w:rPr>
                <w:rFonts w:hint="default" w:ascii="Times New Roman" w:hAnsi="Times New Roman" w:eastAsia="黑体" w:cs="Times New Roman"/>
                <w:b w:val="0"/>
                <w:bCs w:val="0"/>
                <w:color w:val="auto"/>
                <w:kern w:val="0"/>
                <w:sz w:val="21"/>
                <w:szCs w:val="21"/>
                <w:highlight w:val="none"/>
                <w:lang w:val="en-US" w:eastAsia="zh-CN" w:bidi="ar"/>
              </w:rPr>
            </w:pPr>
            <w:r>
              <w:rPr>
                <w:rFonts w:hint="default" w:ascii="Times New Roman" w:hAnsi="Times New Roman" w:eastAsia="黑体" w:cs="Times New Roman"/>
                <w:b w:val="0"/>
                <w:bCs w:val="0"/>
                <w:color w:val="auto"/>
                <w:kern w:val="0"/>
                <w:szCs w:val="21"/>
                <w:highlight w:val="none"/>
                <w:lang w:val="en-US" w:eastAsia="zh-CN" w:bidi="ar"/>
              </w:rPr>
              <w:t>属性</w:t>
            </w:r>
          </w:p>
        </w:tc>
      </w:tr>
      <w:tr w14:paraId="4F983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2" w:hRule="atLeast"/>
          <w:jc w:val="center"/>
        </w:trPr>
        <w:tc>
          <w:tcPr>
            <w:tcW w:w="2054" w:type="pct"/>
            <w:noWrap w:val="0"/>
            <w:tcMar>
              <w:left w:w="142" w:type="dxa"/>
              <w:right w:w="28" w:type="dxa"/>
            </w:tcMar>
            <w:vAlign w:val="center"/>
          </w:tcPr>
          <w:p w14:paraId="44CD813D">
            <w:pPr>
              <w:keepNext w:val="0"/>
              <w:keepLines w:val="0"/>
              <w:widowControl w:val="0"/>
              <w:suppressLineNumbers w:val="0"/>
              <w:spacing w:before="0" w:beforeAutospacing="0" w:after="0" w:afterAutospacing="0" w:line="300" w:lineRule="exact"/>
              <w:ind w:left="0" w:right="0"/>
              <w:jc w:val="left"/>
              <w:textAlignment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kern w:val="0"/>
                <w:szCs w:val="21"/>
                <w:highlight w:val="none"/>
                <w:lang w:bidi="ar"/>
              </w:rPr>
              <w:t>基本医疗保险参保率</w:t>
            </w:r>
          </w:p>
        </w:tc>
        <w:tc>
          <w:tcPr>
            <w:tcW w:w="1166" w:type="pct"/>
            <w:noWrap w:val="0"/>
            <w:tcMar>
              <w:left w:w="108" w:type="dxa"/>
              <w:right w:w="108" w:type="dxa"/>
            </w:tcMar>
            <w:vAlign w:val="center"/>
          </w:tcPr>
          <w:p w14:paraId="0DFAE4AC">
            <w:pPr>
              <w:keepNext w:val="0"/>
              <w:keepLines w:val="0"/>
              <w:widowControl w:val="0"/>
              <w:suppressLineNumbers w:val="0"/>
              <w:spacing w:before="0" w:beforeAutospacing="0" w:after="0" w:afterAutospacing="0" w:line="300" w:lineRule="exact"/>
              <w:ind w:left="0" w:right="0"/>
              <w:jc w:val="center"/>
              <w:textAlignment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kern w:val="0"/>
                <w:szCs w:val="21"/>
                <w:highlight w:val="none"/>
                <w:lang w:bidi="ar"/>
              </w:rPr>
              <w:t>95</w:t>
            </w:r>
            <w:r>
              <w:rPr>
                <w:rFonts w:hint="default" w:ascii="Times New Roman" w:hAnsi="Times New Roman" w:eastAsia="宋体" w:cs="Times New Roman"/>
                <w:color w:val="auto"/>
                <w:kern w:val="0"/>
                <w:szCs w:val="21"/>
                <w:highlight w:val="none"/>
                <w:lang w:val="en-US" w:eastAsia="zh-CN" w:bidi="ar"/>
              </w:rPr>
              <w:t>%</w:t>
            </w:r>
            <w:r>
              <w:rPr>
                <w:rFonts w:hint="default" w:ascii="Times New Roman" w:hAnsi="Times New Roman" w:eastAsia="宋体" w:cs="Times New Roman"/>
                <w:color w:val="auto"/>
                <w:kern w:val="0"/>
                <w:szCs w:val="21"/>
                <w:highlight w:val="none"/>
                <w:lang w:bidi="ar"/>
              </w:rPr>
              <w:t>左右</w:t>
            </w:r>
          </w:p>
        </w:tc>
        <w:tc>
          <w:tcPr>
            <w:tcW w:w="999" w:type="pct"/>
            <w:noWrap w:val="0"/>
            <w:tcMar>
              <w:left w:w="108" w:type="dxa"/>
              <w:right w:w="108" w:type="dxa"/>
            </w:tcMar>
            <w:vAlign w:val="center"/>
          </w:tcPr>
          <w:p w14:paraId="1E0DD0A7">
            <w:pPr>
              <w:keepNext w:val="0"/>
              <w:keepLines w:val="0"/>
              <w:widowControl w:val="0"/>
              <w:suppressLineNumbers w:val="0"/>
              <w:spacing w:before="0" w:beforeAutospacing="0" w:after="0" w:afterAutospacing="0" w:line="300" w:lineRule="exact"/>
              <w:ind w:left="0" w:right="0"/>
              <w:jc w:val="center"/>
              <w:textAlignment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kern w:val="0"/>
                <w:szCs w:val="21"/>
                <w:highlight w:val="none"/>
                <w:lang w:val="en-US" w:eastAsia="zh-CN" w:bidi="ar"/>
              </w:rPr>
              <w:t>保持稳定</w:t>
            </w:r>
            <w:r>
              <w:rPr>
                <w:rFonts w:hint="default" w:ascii="Times New Roman" w:hAnsi="Times New Roman" w:eastAsia="宋体" w:cs="Times New Roman"/>
                <w:color w:val="auto"/>
                <w:kern w:val="0"/>
                <w:szCs w:val="21"/>
                <w:highlight w:val="none"/>
                <w:vertAlign w:val="superscript"/>
                <w:lang w:bidi="ar"/>
              </w:rPr>
              <w:t>①</w:t>
            </w:r>
          </w:p>
        </w:tc>
        <w:tc>
          <w:tcPr>
            <w:tcW w:w="779" w:type="pct"/>
            <w:noWrap w:val="0"/>
            <w:tcMar>
              <w:left w:w="108" w:type="dxa"/>
              <w:right w:w="108" w:type="dxa"/>
            </w:tcMar>
            <w:vAlign w:val="center"/>
          </w:tcPr>
          <w:p w14:paraId="3B187BCD">
            <w:pPr>
              <w:keepNext w:val="0"/>
              <w:keepLines w:val="0"/>
              <w:widowControl w:val="0"/>
              <w:suppressLineNumbers w:val="0"/>
              <w:spacing w:before="0" w:beforeAutospacing="0" w:after="0" w:afterAutospacing="0" w:line="300" w:lineRule="exact"/>
              <w:ind w:left="0" w:right="0"/>
              <w:jc w:val="center"/>
              <w:textAlignment w:val="center"/>
              <w:rPr>
                <w:rFonts w:hint="default" w:ascii="Times New Roman" w:hAnsi="Times New Roman" w:eastAsia="宋体" w:cs="Times New Roman"/>
                <w:color w:val="auto"/>
                <w:kern w:val="0"/>
                <w:szCs w:val="21"/>
                <w:highlight w:val="none"/>
                <w:lang w:val="en-US" w:eastAsia="zh-CN" w:bidi="ar"/>
              </w:rPr>
            </w:pPr>
            <w:r>
              <w:rPr>
                <w:rFonts w:hint="default" w:ascii="Times New Roman" w:hAnsi="Times New Roman" w:eastAsia="宋体" w:cs="Times New Roman"/>
                <w:color w:val="auto"/>
                <w:kern w:val="0"/>
                <w:szCs w:val="21"/>
                <w:highlight w:val="none"/>
                <w:lang w:val="en-US" w:eastAsia="zh-CN" w:bidi="ar"/>
              </w:rPr>
              <w:t>预期性</w:t>
            </w:r>
          </w:p>
        </w:tc>
      </w:tr>
      <w:tr w14:paraId="7D407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6" w:hRule="atLeast"/>
          <w:jc w:val="center"/>
        </w:trPr>
        <w:tc>
          <w:tcPr>
            <w:tcW w:w="2054" w:type="pct"/>
            <w:noWrap w:val="0"/>
            <w:tcMar>
              <w:left w:w="142" w:type="dxa"/>
              <w:right w:w="28" w:type="dxa"/>
            </w:tcMar>
            <w:vAlign w:val="center"/>
          </w:tcPr>
          <w:p w14:paraId="015CF716">
            <w:pPr>
              <w:keepNext w:val="0"/>
              <w:keepLines w:val="0"/>
              <w:widowControl w:val="0"/>
              <w:suppressLineNumbers w:val="0"/>
              <w:spacing w:before="0" w:beforeAutospacing="0" w:after="0" w:afterAutospacing="0" w:line="300" w:lineRule="exact"/>
              <w:ind w:left="0" w:right="0"/>
              <w:jc w:val="left"/>
              <w:textAlignment w:val="center"/>
              <w:rPr>
                <w:rFonts w:hint="default" w:ascii="Times New Roman" w:hAnsi="Times New Roman" w:eastAsia="宋体" w:cs="Times New Roman"/>
                <w:color w:val="auto"/>
                <w:szCs w:val="21"/>
                <w:highlight w:val="none"/>
                <w:lang w:eastAsia="zh-CN"/>
              </w:rPr>
            </w:pPr>
            <w:r>
              <w:rPr>
                <w:rFonts w:hint="default" w:ascii="Times New Roman" w:hAnsi="Times New Roman" w:eastAsia="宋体" w:cs="Times New Roman"/>
                <w:color w:val="auto"/>
                <w:kern w:val="0"/>
                <w:szCs w:val="21"/>
                <w:highlight w:val="none"/>
                <w:lang w:bidi="ar"/>
              </w:rPr>
              <w:t>开展长期护理保险统筹区数量</w:t>
            </w:r>
          </w:p>
        </w:tc>
        <w:tc>
          <w:tcPr>
            <w:tcW w:w="1166" w:type="pct"/>
            <w:noWrap w:val="0"/>
            <w:tcMar>
              <w:left w:w="108" w:type="dxa"/>
              <w:right w:w="108" w:type="dxa"/>
            </w:tcMar>
            <w:vAlign w:val="center"/>
          </w:tcPr>
          <w:p w14:paraId="68D5250E">
            <w:pPr>
              <w:pStyle w:val="14"/>
              <w:keepNext w:val="0"/>
              <w:keepLines w:val="0"/>
              <w:widowControl w:val="0"/>
              <w:suppressLineNumbers w:val="0"/>
              <w:spacing w:before="0" w:beforeAutospacing="0" w:after="0" w:afterAutospacing="0" w:line="300" w:lineRule="exact"/>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7</w:t>
            </w:r>
            <w:r>
              <w:rPr>
                <w:rFonts w:hint="default" w:ascii="Times New Roman" w:hAnsi="Times New Roman" w:eastAsia="宋体" w:cs="Times New Roman"/>
                <w:color w:val="auto"/>
                <w:sz w:val="21"/>
                <w:szCs w:val="21"/>
                <w:highlight w:val="none"/>
                <w:lang w:val="en-US" w:eastAsia="zh-CN"/>
              </w:rPr>
              <w:t>个</w:t>
            </w:r>
          </w:p>
        </w:tc>
        <w:tc>
          <w:tcPr>
            <w:tcW w:w="999" w:type="pct"/>
            <w:noWrap w:val="0"/>
            <w:tcMar>
              <w:left w:w="108" w:type="dxa"/>
              <w:right w:w="108" w:type="dxa"/>
            </w:tcMar>
            <w:vAlign w:val="center"/>
          </w:tcPr>
          <w:p w14:paraId="42193321">
            <w:pPr>
              <w:keepNext w:val="0"/>
              <w:keepLines w:val="0"/>
              <w:widowControl w:val="0"/>
              <w:suppressLineNumbers w:val="0"/>
              <w:spacing w:before="0" w:beforeAutospacing="0" w:after="0" w:afterAutospacing="0" w:line="300" w:lineRule="exact"/>
              <w:ind w:left="0" w:right="0"/>
              <w:jc w:val="center"/>
              <w:textAlignment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全部统筹区</w:t>
            </w:r>
          </w:p>
        </w:tc>
        <w:tc>
          <w:tcPr>
            <w:tcW w:w="779" w:type="pct"/>
            <w:noWrap w:val="0"/>
            <w:tcMar>
              <w:left w:w="108" w:type="dxa"/>
              <w:right w:w="108" w:type="dxa"/>
            </w:tcMar>
            <w:vAlign w:val="center"/>
          </w:tcPr>
          <w:p w14:paraId="0F8AC53E">
            <w:pPr>
              <w:keepNext w:val="0"/>
              <w:keepLines w:val="0"/>
              <w:widowControl w:val="0"/>
              <w:suppressLineNumbers w:val="0"/>
              <w:spacing w:before="0" w:beforeAutospacing="0" w:after="0" w:afterAutospacing="0" w:line="300" w:lineRule="exact"/>
              <w:ind w:left="0" w:right="0"/>
              <w:jc w:val="center"/>
              <w:textAlignment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约束性</w:t>
            </w:r>
          </w:p>
        </w:tc>
      </w:tr>
      <w:tr w14:paraId="6A01F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3" w:hRule="atLeast"/>
          <w:jc w:val="center"/>
        </w:trPr>
        <w:tc>
          <w:tcPr>
            <w:tcW w:w="2054" w:type="pct"/>
            <w:noWrap w:val="0"/>
            <w:tcMar>
              <w:left w:w="142" w:type="dxa"/>
              <w:right w:w="28" w:type="dxa"/>
            </w:tcMar>
            <w:vAlign w:val="center"/>
          </w:tcPr>
          <w:p w14:paraId="23C8688D">
            <w:pPr>
              <w:keepNext w:val="0"/>
              <w:keepLines w:val="0"/>
              <w:widowControl w:val="0"/>
              <w:suppressLineNumbers w:val="0"/>
              <w:spacing w:before="0" w:beforeAutospacing="0" w:after="0" w:afterAutospacing="0" w:line="300" w:lineRule="exact"/>
              <w:ind w:left="0" w:right="0"/>
              <w:jc w:val="left"/>
              <w:textAlignment w:val="center"/>
              <w:rPr>
                <w:rFonts w:hint="default" w:ascii="Times New Roman" w:hAnsi="Times New Roman" w:eastAsia="宋体" w:cs="Times New Roman"/>
                <w:color w:val="auto"/>
                <w:kern w:val="0"/>
                <w:szCs w:val="21"/>
                <w:highlight w:val="none"/>
                <w:lang w:bidi="ar"/>
              </w:rPr>
            </w:pPr>
            <w:r>
              <w:rPr>
                <w:rFonts w:hint="eastAsia" w:ascii="Times New Roman" w:hAnsi="Times New Roman" w:eastAsia="宋体" w:cs="Times New Roman"/>
                <w:color w:val="auto"/>
                <w:kern w:val="0"/>
                <w:szCs w:val="21"/>
                <w:highlight w:val="none"/>
                <w:lang w:val="en-US" w:eastAsia="zh-CN" w:bidi="ar"/>
              </w:rPr>
              <w:t>统筹区内</w:t>
            </w:r>
            <w:r>
              <w:rPr>
                <w:rFonts w:hint="default" w:ascii="Times New Roman" w:hAnsi="Times New Roman" w:eastAsia="宋体" w:cs="Times New Roman"/>
                <w:color w:val="auto"/>
                <w:kern w:val="0"/>
                <w:szCs w:val="21"/>
                <w:highlight w:val="none"/>
                <w:lang w:bidi="ar"/>
              </w:rPr>
              <w:t>基本医疗保险目录内住院费用基金支付比例</w:t>
            </w:r>
            <w:r>
              <w:rPr>
                <w:rFonts w:hint="default" w:ascii="Times New Roman" w:hAnsi="Times New Roman" w:eastAsia="宋体" w:cs="Times New Roman"/>
                <w:color w:val="auto"/>
                <w:kern w:val="0"/>
                <w:szCs w:val="21"/>
                <w:highlight w:val="none"/>
                <w:vertAlign w:val="superscript"/>
                <w:lang w:val="en-US" w:eastAsia="zh-CN" w:bidi="ar"/>
              </w:rPr>
              <w:t>②</w:t>
            </w:r>
          </w:p>
        </w:tc>
        <w:tc>
          <w:tcPr>
            <w:tcW w:w="1166" w:type="pct"/>
            <w:noWrap w:val="0"/>
            <w:tcMar>
              <w:left w:w="108" w:type="dxa"/>
              <w:right w:w="108" w:type="dxa"/>
            </w:tcMar>
            <w:vAlign w:val="center"/>
          </w:tcPr>
          <w:p w14:paraId="7C768725">
            <w:pPr>
              <w:keepNext w:val="0"/>
              <w:keepLines w:val="0"/>
              <w:widowControl w:val="0"/>
              <w:suppressLineNumbers w:val="0"/>
              <w:spacing w:before="0" w:beforeAutospacing="0" w:after="0" w:afterAutospacing="0" w:line="300" w:lineRule="exact"/>
              <w:ind w:left="0" w:right="0" w:firstLine="0" w:firstLineChars="0"/>
              <w:jc w:val="left"/>
              <w:textAlignment w:val="center"/>
              <w:rPr>
                <w:rFonts w:hint="default" w:ascii="Times New Roman" w:hAnsi="Times New Roman" w:eastAsia="宋体" w:cs="Times New Roman"/>
                <w:color w:val="auto"/>
                <w:sz w:val="21"/>
                <w:szCs w:val="21"/>
                <w:highlight w:val="none"/>
                <w:lang w:bidi="ar"/>
              </w:rPr>
            </w:pPr>
            <w:commentRangeStart w:id="0"/>
            <w:r>
              <w:rPr>
                <w:rFonts w:hint="default" w:ascii="Times New Roman" w:hAnsi="Times New Roman" w:eastAsia="宋体" w:cs="Times New Roman"/>
                <w:color w:val="auto"/>
                <w:szCs w:val="21"/>
                <w:highlight w:val="none"/>
                <w:lang w:val="en-US" w:eastAsia="zh-CN" w:bidi="ar"/>
              </w:rPr>
              <w:t>职工</w:t>
            </w:r>
            <w:r>
              <w:rPr>
                <w:rFonts w:hint="eastAsia" w:ascii="Times New Roman" w:hAnsi="Times New Roman" w:eastAsia="宋体" w:cs="Times New Roman"/>
                <w:color w:val="auto"/>
                <w:szCs w:val="21"/>
                <w:highlight w:val="none"/>
                <w:lang w:val="en-US" w:eastAsia="zh-CN" w:bidi="ar"/>
              </w:rPr>
              <w:t>基本医疗保险</w:t>
            </w:r>
            <w:r>
              <w:rPr>
                <w:rFonts w:hint="default" w:ascii="Times New Roman" w:hAnsi="Times New Roman" w:eastAsia="宋体" w:cs="Times New Roman"/>
                <w:color w:val="auto"/>
                <w:szCs w:val="21"/>
                <w:highlight w:val="none"/>
                <w:lang w:val="en-US" w:eastAsia="zh-CN" w:bidi="ar"/>
              </w:rPr>
              <w:t>7</w:t>
            </w:r>
            <w:r>
              <w:rPr>
                <w:rFonts w:hint="eastAsia" w:ascii="Times New Roman" w:hAnsi="Times New Roman" w:eastAsia="宋体" w:cs="Times New Roman"/>
                <w:color w:val="auto"/>
                <w:szCs w:val="21"/>
                <w:highlight w:val="none"/>
                <w:lang w:val="en-US" w:eastAsia="zh-CN" w:bidi="ar"/>
              </w:rPr>
              <w:t>8</w:t>
            </w:r>
            <w:r>
              <w:rPr>
                <w:rFonts w:hint="default" w:ascii="Times New Roman" w:hAnsi="Times New Roman" w:eastAsia="宋体" w:cs="Times New Roman"/>
                <w:color w:val="auto"/>
                <w:szCs w:val="21"/>
                <w:highlight w:val="none"/>
                <w:lang w:val="en-US" w:eastAsia="zh-CN" w:bidi="ar"/>
              </w:rPr>
              <w:t>%</w:t>
            </w:r>
            <w:r>
              <w:rPr>
                <w:rFonts w:hint="eastAsia" w:ascii="Times New Roman" w:hAnsi="Times New Roman" w:eastAsia="宋体" w:cs="Times New Roman"/>
                <w:color w:val="auto"/>
                <w:szCs w:val="21"/>
                <w:highlight w:val="none"/>
                <w:lang w:val="en-US" w:eastAsia="zh-CN" w:bidi="ar"/>
              </w:rPr>
              <w:t>，</w:t>
            </w:r>
            <w:r>
              <w:rPr>
                <w:rFonts w:hint="default" w:ascii="Times New Roman" w:hAnsi="Times New Roman" w:eastAsia="宋体" w:cs="Times New Roman"/>
                <w:color w:val="auto"/>
                <w:szCs w:val="21"/>
                <w:highlight w:val="none"/>
                <w:lang w:val="en-US" w:eastAsia="zh-CN" w:bidi="ar"/>
              </w:rPr>
              <w:t>居民</w:t>
            </w:r>
            <w:r>
              <w:rPr>
                <w:rFonts w:hint="eastAsia" w:ascii="Times New Roman" w:hAnsi="Times New Roman" w:eastAsia="宋体" w:cs="Times New Roman"/>
                <w:color w:val="auto"/>
                <w:szCs w:val="21"/>
                <w:highlight w:val="none"/>
                <w:lang w:val="en-US" w:eastAsia="zh-CN" w:bidi="ar"/>
              </w:rPr>
              <w:t>基本医疗保险60.8</w:t>
            </w:r>
            <w:r>
              <w:rPr>
                <w:rFonts w:hint="default" w:ascii="Times New Roman" w:hAnsi="Times New Roman" w:eastAsia="宋体" w:cs="Times New Roman"/>
                <w:color w:val="auto"/>
                <w:szCs w:val="21"/>
                <w:highlight w:val="none"/>
                <w:lang w:val="en-US" w:eastAsia="zh-CN" w:bidi="ar"/>
              </w:rPr>
              <w:t>%</w:t>
            </w:r>
            <w:commentRangeEnd w:id="0"/>
            <w:r>
              <w:rPr>
                <w:rFonts w:hint="default"/>
                <w:color w:val="auto"/>
                <w:highlight w:val="none"/>
              </w:rPr>
              <w:commentReference w:id="0"/>
            </w:r>
          </w:p>
        </w:tc>
        <w:tc>
          <w:tcPr>
            <w:tcW w:w="999" w:type="pct"/>
            <w:noWrap w:val="0"/>
            <w:tcMar>
              <w:left w:w="108" w:type="dxa"/>
              <w:right w:w="108" w:type="dxa"/>
            </w:tcMar>
            <w:vAlign w:val="center"/>
          </w:tcPr>
          <w:p w14:paraId="468ABC3D">
            <w:pPr>
              <w:keepNext w:val="0"/>
              <w:keepLines w:val="0"/>
              <w:widowControl w:val="0"/>
              <w:suppressLineNumbers w:val="0"/>
              <w:spacing w:before="0" w:beforeAutospacing="0" w:after="0" w:afterAutospacing="0" w:line="300" w:lineRule="exact"/>
              <w:ind w:left="0" w:right="0"/>
              <w:jc w:val="center"/>
              <w:textAlignment w:val="center"/>
              <w:rPr>
                <w:rFonts w:hint="default" w:ascii="Times New Roman" w:hAnsi="Times New Roman" w:eastAsia="宋体" w:cs="Times New Roman"/>
                <w:color w:val="auto"/>
                <w:kern w:val="0"/>
                <w:szCs w:val="21"/>
                <w:highlight w:val="none"/>
                <w:lang w:bidi="ar"/>
              </w:rPr>
            </w:pPr>
            <w:r>
              <w:rPr>
                <w:rFonts w:hint="default" w:ascii="Times New Roman" w:hAnsi="Times New Roman" w:eastAsia="宋体" w:cs="Times New Roman"/>
                <w:color w:val="auto"/>
                <w:kern w:val="0"/>
                <w:szCs w:val="21"/>
                <w:highlight w:val="none"/>
                <w:lang w:bidi="ar"/>
              </w:rPr>
              <w:t>保持稳定</w:t>
            </w:r>
          </w:p>
        </w:tc>
        <w:tc>
          <w:tcPr>
            <w:tcW w:w="779" w:type="pct"/>
            <w:noWrap w:val="0"/>
            <w:tcMar>
              <w:left w:w="108" w:type="dxa"/>
              <w:right w:w="108" w:type="dxa"/>
            </w:tcMar>
            <w:vAlign w:val="center"/>
          </w:tcPr>
          <w:p w14:paraId="382C4EAE">
            <w:pPr>
              <w:keepNext w:val="0"/>
              <w:keepLines w:val="0"/>
              <w:widowControl w:val="0"/>
              <w:suppressLineNumbers w:val="0"/>
              <w:spacing w:before="0" w:beforeAutospacing="0" w:after="0" w:afterAutospacing="0" w:line="300" w:lineRule="exact"/>
              <w:ind w:left="0" w:right="0"/>
              <w:jc w:val="center"/>
              <w:textAlignment w:val="center"/>
              <w:rPr>
                <w:rFonts w:hint="default" w:ascii="Times New Roman" w:hAnsi="Times New Roman" w:eastAsia="宋体" w:cs="Times New Roman"/>
                <w:color w:val="auto"/>
                <w:kern w:val="0"/>
                <w:szCs w:val="21"/>
                <w:highlight w:val="none"/>
                <w:lang w:val="en-US" w:eastAsia="zh-CN" w:bidi="ar"/>
              </w:rPr>
            </w:pPr>
            <w:r>
              <w:rPr>
                <w:rFonts w:hint="default" w:ascii="Times New Roman" w:hAnsi="Times New Roman" w:eastAsia="宋体" w:cs="Times New Roman"/>
                <w:color w:val="auto"/>
                <w:kern w:val="0"/>
                <w:szCs w:val="21"/>
                <w:highlight w:val="none"/>
                <w:lang w:val="en-US" w:eastAsia="zh-CN" w:bidi="ar"/>
              </w:rPr>
              <w:t>预期性</w:t>
            </w:r>
          </w:p>
        </w:tc>
      </w:tr>
      <w:tr w14:paraId="089DF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7" w:hRule="atLeast"/>
          <w:jc w:val="center"/>
        </w:trPr>
        <w:tc>
          <w:tcPr>
            <w:tcW w:w="2054" w:type="pct"/>
            <w:noWrap w:val="0"/>
            <w:tcMar>
              <w:left w:w="142" w:type="dxa"/>
              <w:right w:w="28" w:type="dxa"/>
            </w:tcMar>
            <w:vAlign w:val="center"/>
          </w:tcPr>
          <w:p w14:paraId="48C85D79">
            <w:pPr>
              <w:keepNext w:val="0"/>
              <w:keepLines w:val="0"/>
              <w:widowControl w:val="0"/>
              <w:suppressLineNumbers w:val="0"/>
              <w:spacing w:before="0" w:beforeAutospacing="0" w:after="0" w:afterAutospacing="0" w:line="300" w:lineRule="exact"/>
              <w:ind w:left="0" w:right="0"/>
              <w:jc w:val="left"/>
              <w:textAlignment w:val="center"/>
              <w:rPr>
                <w:rFonts w:hint="default" w:ascii="Times New Roman" w:hAnsi="Times New Roman" w:eastAsia="宋体" w:cs="Times New Roman"/>
                <w:color w:val="auto"/>
                <w:kern w:val="0"/>
                <w:szCs w:val="21"/>
                <w:highlight w:val="none"/>
                <w:lang w:bidi="ar"/>
              </w:rPr>
            </w:pPr>
            <w:r>
              <w:rPr>
                <w:rFonts w:hint="default" w:ascii="Times New Roman" w:hAnsi="Times New Roman" w:eastAsia="宋体" w:cs="Times New Roman"/>
                <w:color w:val="auto"/>
                <w:kern w:val="0"/>
                <w:szCs w:val="21"/>
                <w:highlight w:val="none"/>
                <w:lang w:bidi="ar"/>
              </w:rPr>
              <w:t>职工基本医疗保险</w:t>
            </w:r>
            <w:r>
              <w:rPr>
                <w:rFonts w:hint="default" w:ascii="Times New Roman" w:hAnsi="Times New Roman" w:eastAsia="宋体" w:cs="Times New Roman"/>
                <w:color w:val="auto"/>
                <w:kern w:val="0"/>
                <w:szCs w:val="21"/>
                <w:highlight w:val="none"/>
                <w:lang w:val="en-US" w:eastAsia="zh-CN" w:bidi="ar"/>
              </w:rPr>
              <w:t>统筹</w:t>
            </w:r>
            <w:r>
              <w:rPr>
                <w:rFonts w:hint="default" w:ascii="Times New Roman" w:hAnsi="Times New Roman" w:eastAsia="宋体" w:cs="Times New Roman"/>
                <w:color w:val="auto"/>
                <w:kern w:val="0"/>
                <w:szCs w:val="21"/>
                <w:highlight w:val="none"/>
                <w:lang w:bidi="ar"/>
              </w:rPr>
              <w:t>基金累计结存可支付月数</w:t>
            </w:r>
          </w:p>
        </w:tc>
        <w:tc>
          <w:tcPr>
            <w:tcW w:w="1166" w:type="pct"/>
            <w:noWrap w:val="0"/>
            <w:tcMar>
              <w:left w:w="108" w:type="dxa"/>
              <w:right w:w="108" w:type="dxa"/>
            </w:tcMar>
            <w:vAlign w:val="center"/>
          </w:tcPr>
          <w:p w14:paraId="27EA8847">
            <w:pPr>
              <w:pStyle w:val="14"/>
              <w:keepNext w:val="0"/>
              <w:keepLines w:val="0"/>
              <w:widowControl w:val="0"/>
              <w:suppressLineNumbers w:val="0"/>
              <w:spacing w:before="0" w:beforeAutospacing="0" w:after="0" w:afterAutospacing="0" w:line="300" w:lineRule="exact"/>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bidi="ar"/>
              </w:rPr>
              <w:t>27.1个月</w:t>
            </w:r>
          </w:p>
        </w:tc>
        <w:tc>
          <w:tcPr>
            <w:tcW w:w="999" w:type="pct"/>
            <w:noWrap w:val="0"/>
            <w:tcMar>
              <w:left w:w="108" w:type="dxa"/>
              <w:right w:w="108" w:type="dxa"/>
            </w:tcMar>
            <w:vAlign w:val="center"/>
          </w:tcPr>
          <w:p w14:paraId="74AD0086">
            <w:pPr>
              <w:keepNext w:val="0"/>
              <w:keepLines w:val="0"/>
              <w:widowControl w:val="0"/>
              <w:suppressLineNumbers w:val="0"/>
              <w:spacing w:before="0" w:beforeAutospacing="0" w:after="0" w:afterAutospacing="0" w:line="300" w:lineRule="exact"/>
              <w:ind w:left="0" w:right="0"/>
              <w:jc w:val="center"/>
              <w:textAlignment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kern w:val="0"/>
                <w:szCs w:val="21"/>
                <w:highlight w:val="none"/>
                <w:lang w:val="en-US" w:bidi="ar"/>
              </w:rPr>
              <w:t>安全线以上</w:t>
            </w:r>
          </w:p>
        </w:tc>
        <w:tc>
          <w:tcPr>
            <w:tcW w:w="779" w:type="pct"/>
            <w:noWrap w:val="0"/>
            <w:tcMar>
              <w:left w:w="108" w:type="dxa"/>
              <w:right w:w="108" w:type="dxa"/>
            </w:tcMar>
            <w:vAlign w:val="center"/>
          </w:tcPr>
          <w:p w14:paraId="52FE205B">
            <w:pPr>
              <w:keepNext w:val="0"/>
              <w:keepLines w:val="0"/>
              <w:widowControl w:val="0"/>
              <w:suppressLineNumbers w:val="0"/>
              <w:spacing w:before="0" w:beforeAutospacing="0" w:after="0" w:afterAutospacing="0" w:line="300" w:lineRule="exact"/>
              <w:ind w:left="0" w:right="0"/>
              <w:jc w:val="center"/>
              <w:textAlignment w:val="center"/>
              <w:rPr>
                <w:rFonts w:hint="default" w:ascii="Times New Roman" w:hAnsi="Times New Roman" w:eastAsia="宋体" w:cs="Times New Roman"/>
                <w:color w:val="auto"/>
                <w:kern w:val="0"/>
                <w:szCs w:val="21"/>
                <w:highlight w:val="none"/>
                <w:lang w:val="en-US" w:eastAsia="zh-CN" w:bidi="ar"/>
              </w:rPr>
            </w:pPr>
            <w:r>
              <w:rPr>
                <w:rFonts w:hint="default" w:ascii="Times New Roman" w:hAnsi="Times New Roman" w:eastAsia="宋体" w:cs="Times New Roman"/>
                <w:color w:val="auto"/>
                <w:kern w:val="0"/>
                <w:szCs w:val="21"/>
                <w:highlight w:val="none"/>
                <w:lang w:val="en-US" w:eastAsia="zh-CN" w:bidi="ar"/>
              </w:rPr>
              <w:t>预期性</w:t>
            </w:r>
          </w:p>
        </w:tc>
      </w:tr>
      <w:tr w14:paraId="69B15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4" w:hRule="atLeast"/>
          <w:jc w:val="center"/>
        </w:trPr>
        <w:tc>
          <w:tcPr>
            <w:tcW w:w="2054" w:type="pct"/>
            <w:noWrap w:val="0"/>
            <w:tcMar>
              <w:left w:w="142" w:type="dxa"/>
              <w:right w:w="28" w:type="dxa"/>
            </w:tcMar>
            <w:vAlign w:val="center"/>
          </w:tcPr>
          <w:p w14:paraId="4DA57CCE">
            <w:pPr>
              <w:keepNext w:val="0"/>
              <w:keepLines w:val="0"/>
              <w:widowControl w:val="0"/>
              <w:suppressLineNumbers w:val="0"/>
              <w:spacing w:before="0" w:beforeAutospacing="0" w:after="0" w:afterAutospacing="0" w:line="300" w:lineRule="exact"/>
              <w:ind w:left="0" w:right="0"/>
              <w:jc w:val="left"/>
              <w:textAlignment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kern w:val="0"/>
                <w:szCs w:val="21"/>
                <w:highlight w:val="none"/>
                <w:lang w:bidi="ar"/>
              </w:rPr>
              <w:t>城乡居民基本医疗保险基金累计结存可支付月数</w:t>
            </w:r>
          </w:p>
        </w:tc>
        <w:tc>
          <w:tcPr>
            <w:tcW w:w="1166" w:type="pct"/>
            <w:noWrap w:val="0"/>
            <w:tcMar>
              <w:left w:w="108" w:type="dxa"/>
              <w:right w:w="108" w:type="dxa"/>
            </w:tcMar>
            <w:vAlign w:val="center"/>
          </w:tcPr>
          <w:p w14:paraId="7BAC4DC2">
            <w:pPr>
              <w:pStyle w:val="14"/>
              <w:keepNext w:val="0"/>
              <w:keepLines w:val="0"/>
              <w:widowControl w:val="0"/>
              <w:suppressLineNumbers w:val="0"/>
              <w:spacing w:before="0" w:beforeAutospacing="0" w:after="0" w:afterAutospacing="0" w:line="300" w:lineRule="exact"/>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bidi="ar"/>
              </w:rPr>
              <w:t>12.4个月</w:t>
            </w:r>
          </w:p>
        </w:tc>
        <w:tc>
          <w:tcPr>
            <w:tcW w:w="999" w:type="pct"/>
            <w:noWrap w:val="0"/>
            <w:tcMar>
              <w:left w:w="108" w:type="dxa"/>
              <w:right w:w="108" w:type="dxa"/>
            </w:tcMar>
            <w:vAlign w:val="center"/>
          </w:tcPr>
          <w:p w14:paraId="183346CA">
            <w:pPr>
              <w:keepNext w:val="0"/>
              <w:keepLines w:val="0"/>
              <w:widowControl w:val="0"/>
              <w:suppressLineNumbers w:val="0"/>
              <w:spacing w:before="0" w:beforeAutospacing="0" w:after="0" w:afterAutospacing="0" w:line="300" w:lineRule="exact"/>
              <w:ind w:left="0" w:right="0"/>
              <w:jc w:val="center"/>
              <w:textAlignment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kern w:val="0"/>
                <w:szCs w:val="21"/>
                <w:highlight w:val="none"/>
                <w:lang w:val="en-US" w:eastAsia="zh-CN" w:bidi="ar"/>
              </w:rPr>
              <w:t>总体保持在安全水平</w:t>
            </w:r>
          </w:p>
        </w:tc>
        <w:tc>
          <w:tcPr>
            <w:tcW w:w="779" w:type="pct"/>
            <w:noWrap w:val="0"/>
            <w:tcMar>
              <w:left w:w="108" w:type="dxa"/>
              <w:right w:w="108" w:type="dxa"/>
            </w:tcMar>
            <w:vAlign w:val="center"/>
          </w:tcPr>
          <w:p w14:paraId="0DFE25D9">
            <w:pPr>
              <w:keepNext w:val="0"/>
              <w:keepLines w:val="0"/>
              <w:widowControl w:val="0"/>
              <w:suppressLineNumbers w:val="0"/>
              <w:spacing w:before="0" w:beforeAutospacing="0" w:after="0" w:afterAutospacing="0" w:line="300" w:lineRule="exact"/>
              <w:ind w:left="0" w:right="0"/>
              <w:jc w:val="center"/>
              <w:textAlignment w:val="center"/>
              <w:rPr>
                <w:rFonts w:hint="default" w:ascii="Times New Roman" w:hAnsi="Times New Roman" w:eastAsia="宋体" w:cs="Times New Roman"/>
                <w:color w:val="auto"/>
                <w:kern w:val="0"/>
                <w:szCs w:val="21"/>
                <w:highlight w:val="none"/>
                <w:lang w:val="en-US" w:eastAsia="zh-CN" w:bidi="ar"/>
              </w:rPr>
            </w:pPr>
            <w:r>
              <w:rPr>
                <w:rFonts w:hint="default" w:ascii="Times New Roman" w:hAnsi="Times New Roman" w:eastAsia="宋体" w:cs="Times New Roman"/>
                <w:color w:val="auto"/>
                <w:kern w:val="0"/>
                <w:szCs w:val="21"/>
                <w:highlight w:val="none"/>
                <w:lang w:val="en-US" w:eastAsia="zh-CN" w:bidi="ar"/>
              </w:rPr>
              <w:t>预期性</w:t>
            </w:r>
          </w:p>
        </w:tc>
      </w:tr>
      <w:tr w14:paraId="28FBB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3" w:hRule="atLeast"/>
          <w:jc w:val="center"/>
        </w:trPr>
        <w:tc>
          <w:tcPr>
            <w:tcW w:w="2054" w:type="pct"/>
            <w:noWrap w:val="0"/>
            <w:tcMar>
              <w:left w:w="142" w:type="dxa"/>
              <w:right w:w="28" w:type="dxa"/>
            </w:tcMar>
            <w:vAlign w:val="center"/>
          </w:tcPr>
          <w:p w14:paraId="32147261">
            <w:pPr>
              <w:keepNext w:val="0"/>
              <w:keepLines w:val="0"/>
              <w:widowControl w:val="0"/>
              <w:suppressLineNumbers w:val="0"/>
              <w:spacing w:before="0" w:beforeAutospacing="0" w:after="0" w:afterAutospacing="0" w:line="300" w:lineRule="exact"/>
              <w:ind w:left="0" w:right="0"/>
              <w:jc w:val="left"/>
              <w:textAlignment w:val="center"/>
              <w:rPr>
                <w:rFonts w:hint="default" w:ascii="Times New Roman" w:hAnsi="Times New Roman" w:eastAsia="宋体" w:cs="Times New Roman"/>
                <w:color w:val="auto"/>
                <w:kern w:val="0"/>
                <w:szCs w:val="21"/>
                <w:highlight w:val="none"/>
                <w:lang w:bidi="ar"/>
              </w:rPr>
            </w:pPr>
            <w:r>
              <w:rPr>
                <w:rFonts w:hint="default" w:ascii="Times New Roman" w:hAnsi="Times New Roman" w:eastAsia="宋体" w:cs="Times New Roman"/>
                <w:color w:val="auto"/>
                <w:kern w:val="0"/>
                <w:szCs w:val="21"/>
                <w:highlight w:val="none"/>
                <w:lang w:bidi="ar"/>
              </w:rPr>
              <w:t>公立医疗机构通过省级集中采购平台线上采购药品</w:t>
            </w:r>
            <w:r>
              <w:rPr>
                <w:rFonts w:hint="eastAsia" w:ascii="Times New Roman" w:hAnsi="Times New Roman" w:eastAsia="宋体" w:cs="Times New Roman"/>
                <w:color w:val="auto"/>
                <w:kern w:val="0"/>
                <w:szCs w:val="21"/>
                <w:highlight w:val="none"/>
                <w:lang w:eastAsia="zh-CN" w:bidi="ar"/>
              </w:rPr>
              <w:t>（</w:t>
            </w:r>
            <w:r>
              <w:rPr>
                <w:rFonts w:hint="eastAsia" w:ascii="Times New Roman" w:hAnsi="Times New Roman" w:eastAsia="宋体" w:cs="Times New Roman"/>
                <w:color w:val="auto"/>
                <w:kern w:val="0"/>
                <w:szCs w:val="21"/>
                <w:highlight w:val="none"/>
                <w:lang w:val="en-US" w:eastAsia="zh-CN" w:bidi="ar"/>
              </w:rPr>
              <w:t>不含中药饮片</w:t>
            </w:r>
            <w:r>
              <w:rPr>
                <w:rFonts w:hint="eastAsia" w:ascii="Times New Roman" w:hAnsi="Times New Roman" w:eastAsia="宋体" w:cs="Times New Roman"/>
                <w:color w:val="auto"/>
                <w:kern w:val="0"/>
                <w:szCs w:val="21"/>
                <w:highlight w:val="none"/>
                <w:lang w:eastAsia="zh-CN" w:bidi="ar"/>
              </w:rPr>
              <w:t>）</w:t>
            </w:r>
            <w:r>
              <w:rPr>
                <w:rFonts w:hint="eastAsia" w:ascii="Times New Roman" w:hAnsi="Times New Roman" w:eastAsia="宋体" w:cs="Times New Roman"/>
                <w:color w:val="auto"/>
                <w:kern w:val="0"/>
                <w:szCs w:val="21"/>
                <w:highlight w:val="none"/>
                <w:lang w:val="en-US" w:eastAsia="zh-CN" w:bidi="ar"/>
              </w:rPr>
              <w:t>和高值医用耗材</w:t>
            </w:r>
            <w:r>
              <w:rPr>
                <w:rFonts w:hint="default" w:ascii="Times New Roman" w:hAnsi="Times New Roman" w:eastAsia="宋体" w:cs="Times New Roman"/>
                <w:color w:val="auto"/>
                <w:kern w:val="0"/>
                <w:szCs w:val="21"/>
                <w:highlight w:val="none"/>
                <w:lang w:bidi="ar"/>
              </w:rPr>
              <w:t>金额占全部采购金额的比例</w:t>
            </w:r>
          </w:p>
        </w:tc>
        <w:tc>
          <w:tcPr>
            <w:tcW w:w="1166" w:type="pct"/>
            <w:noWrap w:val="0"/>
            <w:tcMar>
              <w:left w:w="108" w:type="dxa"/>
              <w:right w:w="108" w:type="dxa"/>
            </w:tcMar>
            <w:vAlign w:val="center"/>
          </w:tcPr>
          <w:p w14:paraId="2A08118C">
            <w:pPr>
              <w:jc w:val="center"/>
              <w:rPr>
                <w:color w:val="auto"/>
                <w:highlight w:val="none"/>
              </w:rPr>
            </w:pPr>
            <w:r>
              <w:rPr>
                <w:rFonts w:hint="eastAsia" w:ascii="Times New Roman" w:hAnsi="Times New Roman" w:eastAsia="宋体" w:cs="Times New Roman"/>
                <w:color w:val="auto"/>
                <w:szCs w:val="21"/>
                <w:highlight w:val="none"/>
                <w:lang w:val="en-US" w:eastAsia="zh-CN" w:bidi="ar"/>
              </w:rPr>
              <w:t>药品</w:t>
            </w:r>
            <w:r>
              <w:rPr>
                <w:rFonts w:hint="default" w:ascii="Times New Roman" w:hAnsi="Times New Roman" w:eastAsia="宋体" w:cs="Times New Roman"/>
                <w:color w:val="auto"/>
                <w:szCs w:val="21"/>
                <w:highlight w:val="none"/>
                <w:lang w:bidi="ar"/>
              </w:rPr>
              <w:t>90%</w:t>
            </w:r>
            <w:r>
              <w:rPr>
                <w:rFonts w:hint="eastAsia" w:ascii="Times New Roman" w:hAnsi="Times New Roman" w:eastAsia="宋体" w:cs="Times New Roman"/>
                <w:color w:val="auto"/>
                <w:szCs w:val="21"/>
                <w:highlight w:val="none"/>
                <w:lang w:eastAsia="zh-CN" w:bidi="ar"/>
              </w:rPr>
              <w:t>，</w:t>
            </w:r>
          </w:p>
          <w:p w14:paraId="7708EB29">
            <w:pPr>
              <w:keepNext w:val="0"/>
              <w:keepLines w:val="0"/>
              <w:widowControl w:val="0"/>
              <w:suppressLineNumbers w:val="0"/>
              <w:spacing w:before="0" w:beforeAutospacing="0" w:after="0" w:afterAutospacing="0" w:line="300" w:lineRule="exact"/>
              <w:ind w:left="0" w:right="0"/>
              <w:jc w:val="center"/>
              <w:textAlignment w:val="center"/>
              <w:rPr>
                <w:rFonts w:hint="default" w:ascii="Times New Roman" w:hAnsi="Times New Roman" w:eastAsia="宋体" w:cs="Times New Roman"/>
                <w:color w:val="auto"/>
                <w:szCs w:val="21"/>
                <w:highlight w:val="none"/>
                <w:lang w:val="en-US" w:bidi="ar"/>
              </w:rPr>
            </w:pPr>
            <w:r>
              <w:rPr>
                <w:rFonts w:hint="eastAsia" w:ascii="Times New Roman" w:hAnsi="Times New Roman" w:eastAsia="宋体" w:cs="Times New Roman"/>
                <w:color w:val="auto"/>
                <w:kern w:val="0"/>
                <w:szCs w:val="21"/>
                <w:highlight w:val="none"/>
                <w:lang w:val="en-US" w:eastAsia="zh-CN" w:bidi="ar"/>
              </w:rPr>
              <w:t>高值医用耗材80%</w:t>
            </w:r>
          </w:p>
        </w:tc>
        <w:tc>
          <w:tcPr>
            <w:tcW w:w="999" w:type="pct"/>
            <w:noWrap w:val="0"/>
            <w:tcMar>
              <w:left w:w="108" w:type="dxa"/>
              <w:right w:w="108" w:type="dxa"/>
            </w:tcMar>
            <w:vAlign w:val="center"/>
          </w:tcPr>
          <w:p w14:paraId="734F6FBE">
            <w:pPr>
              <w:keepNext w:val="0"/>
              <w:keepLines w:val="0"/>
              <w:widowControl w:val="0"/>
              <w:suppressLineNumbers w:val="0"/>
              <w:spacing w:before="0" w:beforeAutospacing="0" w:after="0" w:afterAutospacing="0" w:line="300" w:lineRule="exact"/>
              <w:ind w:left="0" w:right="0"/>
              <w:jc w:val="center"/>
              <w:textAlignment w:val="center"/>
              <w:rPr>
                <w:rFonts w:hint="default" w:ascii="Times New Roman" w:hAnsi="Times New Roman" w:eastAsia="宋体" w:cs="Times New Roman"/>
                <w:color w:val="auto"/>
                <w:kern w:val="0"/>
                <w:szCs w:val="21"/>
                <w:highlight w:val="none"/>
                <w:lang w:val="en-US" w:eastAsia="zh-CN" w:bidi="ar"/>
              </w:rPr>
            </w:pPr>
            <w:r>
              <w:rPr>
                <w:rFonts w:hint="eastAsia" w:ascii="Times New Roman" w:hAnsi="Times New Roman" w:eastAsia="宋体" w:cs="Times New Roman"/>
                <w:color w:val="auto"/>
                <w:kern w:val="0"/>
                <w:szCs w:val="21"/>
                <w:highlight w:val="none"/>
                <w:lang w:val="en-US" w:eastAsia="zh-CN" w:bidi="ar"/>
              </w:rPr>
              <w:t>保持稳定</w:t>
            </w:r>
          </w:p>
        </w:tc>
        <w:tc>
          <w:tcPr>
            <w:tcW w:w="779" w:type="pct"/>
            <w:noWrap w:val="0"/>
            <w:tcMar>
              <w:left w:w="108" w:type="dxa"/>
              <w:right w:w="108" w:type="dxa"/>
            </w:tcMar>
            <w:vAlign w:val="center"/>
          </w:tcPr>
          <w:p w14:paraId="6D801B73">
            <w:pPr>
              <w:keepNext w:val="0"/>
              <w:keepLines w:val="0"/>
              <w:widowControl w:val="0"/>
              <w:suppressLineNumbers w:val="0"/>
              <w:spacing w:before="0" w:beforeAutospacing="0" w:after="0" w:afterAutospacing="0" w:line="300" w:lineRule="exact"/>
              <w:ind w:left="0" w:right="0"/>
              <w:jc w:val="center"/>
              <w:textAlignment w:val="center"/>
              <w:rPr>
                <w:rFonts w:hint="default" w:ascii="Times New Roman" w:hAnsi="Times New Roman" w:eastAsia="宋体" w:cs="Times New Roman"/>
                <w:color w:val="auto"/>
                <w:kern w:val="0"/>
                <w:szCs w:val="21"/>
                <w:highlight w:val="none"/>
                <w:lang w:val="en-US" w:eastAsia="zh-CN" w:bidi="ar"/>
              </w:rPr>
            </w:pPr>
            <w:r>
              <w:rPr>
                <w:rFonts w:hint="default" w:ascii="Times New Roman" w:hAnsi="Times New Roman" w:eastAsia="宋体" w:cs="Times New Roman"/>
                <w:color w:val="auto"/>
                <w:kern w:val="0"/>
                <w:szCs w:val="21"/>
                <w:highlight w:val="none"/>
                <w:lang w:val="en-US" w:eastAsia="zh-CN" w:bidi="ar"/>
              </w:rPr>
              <w:t>预期性</w:t>
            </w:r>
          </w:p>
        </w:tc>
      </w:tr>
      <w:tr w14:paraId="5B581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8" w:hRule="atLeast"/>
          <w:jc w:val="center"/>
        </w:trPr>
        <w:tc>
          <w:tcPr>
            <w:tcW w:w="2054" w:type="pct"/>
            <w:noWrap w:val="0"/>
            <w:tcMar>
              <w:left w:w="142" w:type="dxa"/>
              <w:right w:w="28" w:type="dxa"/>
            </w:tcMar>
            <w:vAlign w:val="center"/>
          </w:tcPr>
          <w:p w14:paraId="66DEF458">
            <w:pPr>
              <w:keepNext w:val="0"/>
              <w:keepLines w:val="0"/>
              <w:widowControl w:val="0"/>
              <w:suppressLineNumbers w:val="0"/>
              <w:spacing w:before="0" w:beforeAutospacing="0" w:after="0" w:afterAutospacing="0" w:line="300" w:lineRule="exact"/>
              <w:ind w:left="0" w:right="0"/>
              <w:jc w:val="left"/>
              <w:textAlignment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kern w:val="0"/>
                <w:szCs w:val="21"/>
                <w:highlight w:val="none"/>
                <w:lang w:bidi="ar"/>
              </w:rPr>
              <w:t>即时结算基本医疗保险基金</w:t>
            </w:r>
            <w:r>
              <w:rPr>
                <w:rFonts w:hint="default" w:ascii="Times New Roman" w:hAnsi="Times New Roman" w:eastAsia="宋体" w:cs="Times New Roman"/>
                <w:color w:val="auto"/>
                <w:kern w:val="0"/>
                <w:szCs w:val="21"/>
                <w:highlight w:val="none"/>
                <w:lang w:val="en-US" w:eastAsia="zh-CN" w:bidi="ar"/>
              </w:rPr>
              <w:t>支出</w:t>
            </w:r>
            <w:r>
              <w:rPr>
                <w:rFonts w:hint="default" w:ascii="Times New Roman" w:hAnsi="Times New Roman" w:eastAsia="宋体" w:cs="Times New Roman"/>
                <w:color w:val="auto"/>
                <w:kern w:val="0"/>
                <w:szCs w:val="21"/>
                <w:highlight w:val="none"/>
                <w:lang w:bidi="ar"/>
              </w:rPr>
              <w:t>覆盖率</w:t>
            </w:r>
          </w:p>
        </w:tc>
        <w:tc>
          <w:tcPr>
            <w:tcW w:w="1166" w:type="pct"/>
            <w:noWrap w:val="0"/>
            <w:tcMar>
              <w:left w:w="108" w:type="dxa"/>
              <w:right w:w="108" w:type="dxa"/>
            </w:tcMar>
            <w:vAlign w:val="center"/>
          </w:tcPr>
          <w:p w14:paraId="0E87C019">
            <w:pPr>
              <w:pStyle w:val="14"/>
              <w:keepNext w:val="0"/>
              <w:keepLines w:val="0"/>
              <w:widowControl w:val="0"/>
              <w:suppressLineNumbers w:val="0"/>
              <w:spacing w:before="0" w:beforeAutospacing="0" w:after="0" w:afterAutospacing="0" w:line="300" w:lineRule="exact"/>
              <w:ind w:left="0" w:right="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90%</w:t>
            </w:r>
          </w:p>
        </w:tc>
        <w:tc>
          <w:tcPr>
            <w:tcW w:w="999" w:type="pct"/>
            <w:noWrap w:val="0"/>
            <w:tcMar>
              <w:left w:w="108" w:type="dxa"/>
              <w:right w:w="108" w:type="dxa"/>
            </w:tcMar>
            <w:vAlign w:val="center"/>
          </w:tcPr>
          <w:p w14:paraId="19BF0FCE">
            <w:pPr>
              <w:keepNext w:val="0"/>
              <w:keepLines w:val="0"/>
              <w:widowControl w:val="0"/>
              <w:suppressLineNumbers w:val="0"/>
              <w:spacing w:before="0" w:beforeAutospacing="0" w:after="0" w:afterAutospacing="0" w:line="300" w:lineRule="exact"/>
              <w:ind w:left="0" w:right="0"/>
              <w:jc w:val="center"/>
              <w:textAlignment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kern w:val="0"/>
                <w:szCs w:val="21"/>
                <w:highlight w:val="none"/>
                <w:lang w:bidi="ar"/>
              </w:rPr>
              <w:t>90%</w:t>
            </w:r>
            <w:r>
              <w:rPr>
                <w:rFonts w:hint="eastAsia" w:ascii="Times New Roman" w:hAnsi="Times New Roman" w:eastAsia="宋体" w:cs="Times New Roman"/>
                <w:color w:val="auto"/>
                <w:kern w:val="0"/>
                <w:szCs w:val="21"/>
                <w:highlight w:val="none"/>
                <w:lang w:val="en-US" w:eastAsia="zh-CN" w:bidi="ar"/>
              </w:rPr>
              <w:t>以上</w:t>
            </w:r>
          </w:p>
        </w:tc>
        <w:tc>
          <w:tcPr>
            <w:tcW w:w="779" w:type="pct"/>
            <w:noWrap w:val="0"/>
            <w:tcMar>
              <w:left w:w="108" w:type="dxa"/>
              <w:right w:w="108" w:type="dxa"/>
            </w:tcMar>
            <w:vAlign w:val="center"/>
          </w:tcPr>
          <w:p w14:paraId="396AEADF">
            <w:pPr>
              <w:keepNext w:val="0"/>
              <w:keepLines w:val="0"/>
              <w:widowControl w:val="0"/>
              <w:suppressLineNumbers w:val="0"/>
              <w:spacing w:before="0" w:beforeAutospacing="0" w:after="0" w:afterAutospacing="0" w:line="300" w:lineRule="exact"/>
              <w:ind w:left="0" w:right="0"/>
              <w:jc w:val="center"/>
              <w:textAlignment w:val="center"/>
              <w:rPr>
                <w:rFonts w:hint="default" w:ascii="Times New Roman" w:hAnsi="Times New Roman" w:eastAsia="宋体" w:cs="Times New Roman"/>
                <w:color w:val="auto"/>
                <w:kern w:val="0"/>
                <w:szCs w:val="21"/>
                <w:highlight w:val="none"/>
                <w:lang w:val="en-US" w:eastAsia="zh-CN" w:bidi="ar"/>
              </w:rPr>
            </w:pPr>
            <w:r>
              <w:rPr>
                <w:rFonts w:hint="default" w:ascii="Times New Roman" w:hAnsi="Times New Roman" w:eastAsia="宋体" w:cs="Times New Roman"/>
                <w:color w:val="auto"/>
                <w:kern w:val="0"/>
                <w:szCs w:val="21"/>
                <w:highlight w:val="none"/>
                <w:lang w:val="en-US" w:eastAsia="zh-CN" w:bidi="ar"/>
              </w:rPr>
              <w:t>预期性</w:t>
            </w:r>
          </w:p>
        </w:tc>
      </w:tr>
      <w:tr w14:paraId="3CC75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8" w:hRule="atLeast"/>
          <w:jc w:val="center"/>
        </w:trPr>
        <w:tc>
          <w:tcPr>
            <w:tcW w:w="2054" w:type="pct"/>
            <w:noWrap w:val="0"/>
            <w:tcMar>
              <w:left w:w="142" w:type="dxa"/>
              <w:right w:w="28" w:type="dxa"/>
            </w:tcMar>
            <w:vAlign w:val="center"/>
          </w:tcPr>
          <w:p w14:paraId="0D7C07B8">
            <w:pPr>
              <w:keepNext w:val="0"/>
              <w:keepLines w:val="0"/>
              <w:widowControl w:val="0"/>
              <w:suppressLineNumbers w:val="0"/>
              <w:spacing w:before="0" w:beforeAutospacing="0" w:after="0" w:afterAutospacing="0" w:line="300" w:lineRule="exact"/>
              <w:ind w:left="0" w:right="0"/>
              <w:jc w:val="left"/>
              <w:textAlignment w:val="center"/>
              <w:rPr>
                <w:rFonts w:hint="default" w:ascii="Times New Roman" w:hAnsi="Times New Roman" w:eastAsia="宋体" w:cs="Times New Roman"/>
                <w:color w:val="auto"/>
                <w:kern w:val="0"/>
                <w:szCs w:val="21"/>
                <w:highlight w:val="none"/>
                <w:lang w:val="en-US" w:eastAsia="zh-CN" w:bidi="ar"/>
              </w:rPr>
            </w:pPr>
            <w:bookmarkStart w:id="68" w:name="_Toc11286"/>
            <w:bookmarkStart w:id="69" w:name="_Toc5113"/>
            <w:bookmarkStart w:id="70" w:name="_Toc31260"/>
            <w:bookmarkStart w:id="71" w:name="_Toc16586"/>
            <w:bookmarkStart w:id="72" w:name="_Toc26473"/>
            <w:r>
              <w:rPr>
                <w:rFonts w:hint="eastAsia" w:ascii="Times New Roman" w:hAnsi="Times New Roman" w:eastAsia="宋体" w:cs="Times New Roman"/>
                <w:color w:val="auto"/>
                <w:kern w:val="0"/>
                <w:szCs w:val="21"/>
                <w:highlight w:val="none"/>
                <w:lang w:val="en-US" w:eastAsia="zh-CN" w:bidi="ar"/>
              </w:rPr>
              <w:t>生育津贴直接发放到个人</w:t>
            </w:r>
          </w:p>
        </w:tc>
        <w:tc>
          <w:tcPr>
            <w:tcW w:w="1166" w:type="pct"/>
            <w:noWrap w:val="0"/>
            <w:tcMar>
              <w:left w:w="108" w:type="dxa"/>
              <w:right w:w="108" w:type="dxa"/>
            </w:tcMar>
            <w:vAlign w:val="center"/>
          </w:tcPr>
          <w:p w14:paraId="6EFBD782">
            <w:pPr>
              <w:pStyle w:val="14"/>
              <w:keepNext w:val="0"/>
              <w:keepLines w:val="0"/>
              <w:widowControl w:val="0"/>
              <w:suppressLineNumbers w:val="0"/>
              <w:spacing w:before="0" w:beforeAutospacing="0" w:after="0" w:afterAutospacing="0" w:line="300" w:lineRule="exact"/>
              <w:ind w:left="0" w:right="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90%</w:t>
            </w:r>
          </w:p>
        </w:tc>
        <w:tc>
          <w:tcPr>
            <w:tcW w:w="999" w:type="pct"/>
            <w:noWrap w:val="0"/>
            <w:tcMar>
              <w:left w:w="108" w:type="dxa"/>
              <w:right w:w="108" w:type="dxa"/>
            </w:tcMar>
            <w:vAlign w:val="center"/>
          </w:tcPr>
          <w:p w14:paraId="1EA03C69">
            <w:pPr>
              <w:keepNext w:val="0"/>
              <w:keepLines w:val="0"/>
              <w:widowControl w:val="0"/>
              <w:suppressLineNumbers w:val="0"/>
              <w:spacing w:before="0" w:beforeAutospacing="0" w:after="0" w:afterAutospacing="0" w:line="300" w:lineRule="exact"/>
              <w:ind w:left="0" w:right="0"/>
              <w:jc w:val="center"/>
              <w:textAlignment w:val="center"/>
              <w:rPr>
                <w:rFonts w:hint="default" w:ascii="Times New Roman" w:hAnsi="Times New Roman" w:eastAsia="宋体" w:cs="Times New Roman"/>
                <w:color w:val="auto"/>
                <w:kern w:val="0"/>
                <w:szCs w:val="21"/>
                <w:highlight w:val="none"/>
                <w:lang w:val="en-US" w:eastAsia="zh-CN" w:bidi="ar"/>
              </w:rPr>
            </w:pPr>
            <w:r>
              <w:rPr>
                <w:rFonts w:hint="eastAsia" w:ascii="Times New Roman" w:hAnsi="Times New Roman" w:eastAsia="宋体" w:cs="Times New Roman"/>
                <w:color w:val="auto"/>
                <w:kern w:val="0"/>
                <w:szCs w:val="21"/>
                <w:highlight w:val="none"/>
                <w:lang w:val="en-US" w:eastAsia="zh-CN" w:bidi="ar"/>
              </w:rPr>
              <w:t>全部实现</w:t>
            </w:r>
          </w:p>
        </w:tc>
        <w:tc>
          <w:tcPr>
            <w:tcW w:w="779" w:type="pct"/>
            <w:noWrap w:val="0"/>
            <w:tcMar>
              <w:left w:w="108" w:type="dxa"/>
              <w:right w:w="108" w:type="dxa"/>
            </w:tcMar>
            <w:vAlign w:val="center"/>
          </w:tcPr>
          <w:p w14:paraId="4D56EF69">
            <w:pPr>
              <w:keepNext w:val="0"/>
              <w:keepLines w:val="0"/>
              <w:widowControl w:val="0"/>
              <w:suppressLineNumbers w:val="0"/>
              <w:spacing w:before="0" w:beforeAutospacing="0" w:after="0" w:afterAutospacing="0" w:line="300" w:lineRule="exact"/>
              <w:ind w:left="0" w:right="0"/>
              <w:jc w:val="center"/>
              <w:textAlignment w:val="center"/>
              <w:rPr>
                <w:rFonts w:hint="default" w:ascii="Times New Roman" w:hAnsi="Times New Roman" w:eastAsia="宋体" w:cs="Times New Roman"/>
                <w:color w:val="auto"/>
                <w:kern w:val="0"/>
                <w:szCs w:val="21"/>
                <w:highlight w:val="none"/>
                <w:lang w:val="en-US" w:eastAsia="zh-CN" w:bidi="ar"/>
              </w:rPr>
            </w:pPr>
            <w:r>
              <w:rPr>
                <w:rFonts w:hint="eastAsia" w:ascii="Times New Roman" w:hAnsi="Times New Roman" w:eastAsia="宋体" w:cs="Times New Roman"/>
                <w:color w:val="auto"/>
                <w:kern w:val="0"/>
                <w:szCs w:val="21"/>
                <w:highlight w:val="none"/>
                <w:lang w:val="en-US" w:eastAsia="zh-CN" w:bidi="ar"/>
              </w:rPr>
              <w:t>预期性</w:t>
            </w:r>
          </w:p>
        </w:tc>
      </w:tr>
    </w:tbl>
    <w:p w14:paraId="77F79BF3">
      <w:pPr>
        <w:widowControl w:val="0"/>
        <w:spacing w:line="240" w:lineRule="atLeast"/>
        <w:ind w:firstLine="440" w:firstLineChars="200"/>
        <w:outlineLvl w:val="9"/>
        <w:rPr>
          <w:rFonts w:hint="default" w:ascii="Times New Roman" w:hAnsi="Times New Roman" w:eastAsia="宋体" w:cs="Times New Roman"/>
          <w:color w:val="auto"/>
          <w:kern w:val="0"/>
          <w:sz w:val="22"/>
          <w:szCs w:val="22"/>
          <w:highlight w:val="none"/>
          <w:lang w:val="en-US" w:eastAsia="zh-CN" w:bidi="ar"/>
        </w:rPr>
      </w:pPr>
      <w:r>
        <w:rPr>
          <w:rFonts w:hint="default" w:ascii="Times New Roman" w:hAnsi="Times New Roman" w:eastAsia="宋体" w:cs="Times New Roman"/>
          <w:color w:val="auto"/>
          <w:kern w:val="0"/>
          <w:sz w:val="22"/>
          <w:szCs w:val="22"/>
          <w:highlight w:val="none"/>
          <w:lang w:val="en-US" w:eastAsia="zh-CN" w:bidi="ar"/>
        </w:rPr>
        <w:t>注：①指“十五五”期间基本医疗保险参保</w:t>
      </w:r>
      <w:r>
        <w:rPr>
          <w:rFonts w:hint="eastAsia" w:ascii="Times New Roman" w:hAnsi="Times New Roman" w:eastAsia="宋体" w:cs="Times New Roman"/>
          <w:color w:val="auto"/>
          <w:kern w:val="0"/>
          <w:sz w:val="22"/>
          <w:szCs w:val="22"/>
          <w:highlight w:val="none"/>
          <w:lang w:val="en-US" w:eastAsia="zh-CN" w:bidi="ar"/>
        </w:rPr>
        <w:t>任务完成率</w:t>
      </w:r>
      <w:r>
        <w:rPr>
          <w:rFonts w:hint="default" w:ascii="Times New Roman" w:hAnsi="Times New Roman" w:eastAsia="宋体" w:cs="Times New Roman"/>
          <w:color w:val="auto"/>
          <w:kern w:val="0"/>
          <w:sz w:val="22"/>
          <w:szCs w:val="22"/>
          <w:highlight w:val="none"/>
          <w:lang w:val="en-US" w:eastAsia="zh-CN" w:bidi="ar"/>
        </w:rPr>
        <w:t>每年保持在95%左右。</w:t>
      </w:r>
      <w:bookmarkEnd w:id="68"/>
      <w:bookmarkStart w:id="73" w:name="_Toc11997"/>
      <w:bookmarkStart w:id="74" w:name="_Toc26041"/>
      <w:bookmarkStart w:id="75" w:name="_Toc20607"/>
    </w:p>
    <w:p w14:paraId="5285B115">
      <w:pPr>
        <w:pStyle w:val="6"/>
        <w:ind w:firstLine="880" w:firstLineChars="400"/>
        <w:rPr>
          <w:rFonts w:hint="default" w:ascii="Calibri" w:hAnsi="Calibri" w:eastAsia="宋体" w:cs="Times New Roman"/>
          <w:color w:val="auto"/>
          <w:kern w:val="2"/>
          <w:sz w:val="21"/>
          <w:szCs w:val="24"/>
          <w:highlight w:val="none"/>
          <w:lang w:val="en-US" w:eastAsia="zh-CN" w:bidi="ar"/>
        </w:rPr>
      </w:pPr>
      <w:r>
        <w:rPr>
          <w:rFonts w:hint="default" w:ascii="Times New Roman" w:hAnsi="Times New Roman" w:eastAsia="宋体" w:cs="Times New Roman"/>
          <w:color w:val="auto"/>
          <w:kern w:val="0"/>
          <w:sz w:val="22"/>
          <w:szCs w:val="22"/>
          <w:highlight w:val="none"/>
          <w:lang w:val="en-US" w:eastAsia="zh-CN" w:bidi="ar"/>
        </w:rPr>
        <w:t>②</w:t>
      </w:r>
      <w:r>
        <w:rPr>
          <w:rFonts w:hint="eastAsia" w:ascii="Times New Roman" w:hAnsi="Times New Roman" w:eastAsia="宋体" w:cs="Times New Roman"/>
          <w:color w:val="auto"/>
          <w:kern w:val="0"/>
          <w:sz w:val="22"/>
          <w:szCs w:val="22"/>
          <w:highlight w:val="none"/>
          <w:lang w:val="en-US" w:eastAsia="zh-CN" w:bidi="ar"/>
        </w:rPr>
        <w:t>职工基本医疗保险和居民基本医疗保险在本统筹地区住院基本医疗保险目录内费用基金支付比例。</w:t>
      </w:r>
    </w:p>
    <w:bookmarkEnd w:id="69"/>
    <w:bookmarkEnd w:id="70"/>
    <w:bookmarkEnd w:id="71"/>
    <w:bookmarkEnd w:id="72"/>
    <w:bookmarkEnd w:id="73"/>
    <w:bookmarkEnd w:id="74"/>
    <w:bookmarkEnd w:id="75"/>
    <w:p w14:paraId="3B6AD55D">
      <w:pPr>
        <w:pStyle w:val="4"/>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Chars="200"/>
        <w:jc w:val="both"/>
        <w:textAlignment w:val="auto"/>
        <w:outlineLvl w:val="0"/>
        <w:rPr>
          <w:rFonts w:hint="eastAsia" w:ascii="宋体" w:hAnsi="宋体" w:eastAsia="黑体" w:cs="Times New Roman"/>
          <w:b w:val="0"/>
          <w:bCs w:val="0"/>
          <w:color w:val="auto"/>
          <w:kern w:val="44"/>
          <w:sz w:val="32"/>
          <w:szCs w:val="48"/>
          <w:highlight w:val="none"/>
          <w:lang w:bidi="ar"/>
        </w:rPr>
      </w:pPr>
      <w:bookmarkStart w:id="76" w:name="_Toc4843"/>
      <w:bookmarkStart w:id="77" w:name="_Toc32186"/>
      <w:bookmarkStart w:id="78" w:name="_Toc20577"/>
      <w:bookmarkStart w:id="79" w:name="_Toc32652"/>
      <w:bookmarkStart w:id="80" w:name="_Toc12701"/>
      <w:bookmarkStart w:id="81" w:name="_Toc7984"/>
      <w:bookmarkStart w:id="82" w:name="_Toc6162"/>
      <w:bookmarkStart w:id="83" w:name="_Toc7075"/>
      <w:bookmarkStart w:id="84" w:name="_Toc341"/>
      <w:bookmarkStart w:id="85" w:name="_Toc9948"/>
      <w:bookmarkStart w:id="86" w:name="_Toc17572"/>
      <w:bookmarkStart w:id="87" w:name="_Toc12239"/>
      <w:bookmarkStart w:id="88" w:name="_Toc20708"/>
      <w:bookmarkStart w:id="89" w:name="_Toc25083"/>
      <w:bookmarkStart w:id="90" w:name="_Toc4777"/>
      <w:bookmarkStart w:id="91" w:name="_Toc21195"/>
      <w:bookmarkStart w:id="92" w:name="_Toc22394"/>
      <w:bookmarkStart w:id="93" w:name="_Toc13868"/>
      <w:bookmarkStart w:id="94" w:name="_Toc3820"/>
      <w:bookmarkStart w:id="95" w:name="_Toc15764"/>
      <w:bookmarkStart w:id="96" w:name="_Toc17675"/>
      <w:bookmarkStart w:id="97" w:name="_Toc3543"/>
      <w:bookmarkStart w:id="98" w:name="_Toc8296"/>
      <w:bookmarkStart w:id="99" w:name="_Toc14959"/>
      <w:bookmarkStart w:id="100" w:name="_Toc10897"/>
      <w:bookmarkStart w:id="101" w:name="_Toc27935"/>
      <w:bookmarkStart w:id="102" w:name="_Toc6469"/>
      <w:bookmarkStart w:id="103" w:name="_Toc2462"/>
      <w:bookmarkStart w:id="104" w:name="_Toc27184"/>
      <w:bookmarkStart w:id="105" w:name="_Toc5713"/>
      <w:bookmarkStart w:id="106" w:name="_Toc24173"/>
      <w:bookmarkStart w:id="107" w:name="_Toc29698"/>
      <w:bookmarkStart w:id="108" w:name="_Toc14075"/>
      <w:bookmarkStart w:id="109" w:name="_Toc139"/>
      <w:bookmarkStart w:id="110" w:name="_Toc20784"/>
      <w:bookmarkStart w:id="111" w:name="_Toc23098"/>
      <w:bookmarkStart w:id="112" w:name="_Toc30082"/>
      <w:bookmarkStart w:id="113" w:name="_Toc24458"/>
      <w:bookmarkStart w:id="114" w:name="_Toc29253"/>
      <w:bookmarkStart w:id="115" w:name="_Toc2801"/>
      <w:bookmarkStart w:id="116" w:name="_Toc28347"/>
      <w:bookmarkStart w:id="117" w:name="_Toc14607"/>
      <w:bookmarkStart w:id="118" w:name="_Toc10715"/>
      <w:bookmarkStart w:id="119" w:name="_Toc25422"/>
      <w:bookmarkStart w:id="120" w:name="_Toc14724"/>
      <w:bookmarkStart w:id="121" w:name="_Toc11719"/>
      <w:bookmarkStart w:id="122" w:name="_Toc8129"/>
      <w:bookmarkStart w:id="123" w:name="_Toc18337"/>
      <w:bookmarkStart w:id="124" w:name="_Toc26437"/>
      <w:bookmarkStart w:id="125" w:name="_Toc25101"/>
      <w:bookmarkStart w:id="126" w:name="_Toc252"/>
      <w:bookmarkStart w:id="127" w:name="_Toc18956"/>
      <w:bookmarkStart w:id="128" w:name="_Toc16628"/>
      <w:bookmarkStart w:id="129" w:name="_Toc17742"/>
      <w:bookmarkStart w:id="130" w:name="_Toc30049"/>
      <w:bookmarkStart w:id="131" w:name="_Toc2103"/>
      <w:bookmarkStart w:id="132" w:name="_Toc16342"/>
      <w:bookmarkStart w:id="133" w:name="_Toc10305"/>
      <w:bookmarkStart w:id="134" w:name="_Toc28417"/>
      <w:bookmarkStart w:id="135" w:name="_Toc25134"/>
      <w:bookmarkStart w:id="136" w:name="_Toc30751"/>
      <w:bookmarkStart w:id="137" w:name="_Toc23749"/>
      <w:bookmarkStart w:id="138" w:name="_Toc10815"/>
      <w:bookmarkStart w:id="139" w:name="_Toc16091"/>
      <w:bookmarkStart w:id="140" w:name="_Toc7116"/>
      <w:bookmarkStart w:id="141" w:name="_Toc11075"/>
      <w:bookmarkStart w:id="142" w:name="_Toc26534"/>
      <w:bookmarkStart w:id="143" w:name="_Toc16946"/>
      <w:bookmarkStart w:id="144" w:name="_Toc26432"/>
      <w:bookmarkStart w:id="145" w:name="_Toc3435"/>
      <w:bookmarkStart w:id="146" w:name="_Toc12749"/>
      <w:bookmarkStart w:id="147" w:name="_Toc5336"/>
      <w:bookmarkStart w:id="148" w:name="_Toc23858"/>
      <w:bookmarkStart w:id="149" w:name="_Toc4833"/>
      <w:bookmarkStart w:id="150" w:name="_Toc10488"/>
      <w:bookmarkStart w:id="151" w:name="_Toc2707"/>
      <w:bookmarkStart w:id="152" w:name="_Toc22379"/>
      <w:bookmarkStart w:id="153" w:name="_Toc30170"/>
      <w:bookmarkStart w:id="154" w:name="_Toc28506"/>
      <w:bookmarkStart w:id="155" w:name="_Toc1811"/>
      <w:bookmarkStart w:id="156" w:name="_Toc18111"/>
      <w:bookmarkStart w:id="157" w:name="_Toc11674"/>
      <w:bookmarkStart w:id="158" w:name="_Toc11749"/>
      <w:bookmarkStart w:id="159" w:name="_Toc5339"/>
      <w:bookmarkStart w:id="160" w:name="_Toc31904"/>
      <w:bookmarkStart w:id="161" w:name="_Toc25902"/>
      <w:bookmarkStart w:id="162" w:name="_Toc30796"/>
      <w:r>
        <w:rPr>
          <w:rFonts w:hint="default" w:ascii="宋体" w:hAnsi="宋体" w:eastAsia="黑体" w:cs="Times New Roman"/>
          <w:b w:val="0"/>
          <w:bCs w:val="0"/>
          <w:color w:val="auto"/>
          <w:kern w:val="44"/>
          <w:sz w:val="32"/>
          <w:szCs w:val="48"/>
          <w:highlight w:val="none"/>
          <w:lang w:val="en-US" w:eastAsia="zh-CN" w:bidi="ar"/>
        </w:rPr>
        <w:t>二、</w:t>
      </w:r>
      <w:r>
        <w:rPr>
          <w:rFonts w:hint="eastAsia" w:ascii="宋体" w:hAnsi="宋体" w:eastAsia="黑体" w:cs="Times New Roman"/>
          <w:b w:val="0"/>
          <w:bCs w:val="0"/>
          <w:color w:val="auto"/>
          <w:kern w:val="44"/>
          <w:sz w:val="32"/>
          <w:szCs w:val="48"/>
          <w:highlight w:val="none"/>
          <w:lang w:bidi="ar"/>
        </w:rPr>
        <w:t>健全多层次医疗保障体系</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14:paraId="6926707B">
      <w:pPr>
        <w:pStyle w:val="5"/>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both"/>
        <w:textAlignment w:val="auto"/>
        <w:outlineLvl w:val="1"/>
        <w:rPr>
          <w:rFonts w:hint="eastAsia" w:ascii="宋体" w:hAnsi="宋体" w:eastAsia="楷体_GB2312" w:cs="Times New Roman"/>
          <w:color w:val="auto"/>
          <w:kern w:val="0"/>
          <w:sz w:val="32"/>
          <w:szCs w:val="36"/>
          <w:highlight w:val="none"/>
          <w:lang w:val="en-US" w:eastAsia="zh-CN" w:bidi="ar"/>
        </w:rPr>
      </w:pPr>
      <w:bookmarkStart w:id="163" w:name="_Toc19495"/>
      <w:bookmarkStart w:id="164" w:name="_Toc29384"/>
      <w:bookmarkStart w:id="165" w:name="_Toc2833"/>
      <w:bookmarkStart w:id="166" w:name="_Toc22548"/>
      <w:bookmarkStart w:id="167" w:name="_Toc32741"/>
      <w:bookmarkStart w:id="168" w:name="_Toc28572"/>
      <w:bookmarkStart w:id="169" w:name="_Toc19162"/>
      <w:bookmarkStart w:id="170" w:name="_Toc29131"/>
      <w:bookmarkStart w:id="171" w:name="_Toc23498"/>
      <w:bookmarkStart w:id="172" w:name="_Toc12486"/>
      <w:bookmarkStart w:id="173" w:name="_Toc25995"/>
      <w:bookmarkStart w:id="174" w:name="_Toc23402"/>
      <w:bookmarkStart w:id="175" w:name="_Toc16670"/>
      <w:bookmarkStart w:id="176" w:name="_Toc7409"/>
      <w:bookmarkStart w:id="177" w:name="_Toc7920"/>
      <w:bookmarkStart w:id="178" w:name="_Toc5999"/>
      <w:bookmarkStart w:id="179" w:name="_Toc25559"/>
      <w:bookmarkStart w:id="180" w:name="_Toc7207"/>
      <w:bookmarkStart w:id="181" w:name="_Toc26667"/>
      <w:bookmarkStart w:id="182" w:name="_Toc3252"/>
      <w:bookmarkStart w:id="183" w:name="_Toc1788"/>
      <w:bookmarkStart w:id="184" w:name="_Toc22176"/>
      <w:bookmarkStart w:id="185" w:name="_Toc28447"/>
      <w:bookmarkStart w:id="186" w:name="_Toc881"/>
      <w:bookmarkStart w:id="187" w:name="_Toc28459"/>
      <w:bookmarkStart w:id="188" w:name="_Toc5051"/>
      <w:bookmarkStart w:id="189" w:name="_Toc14872"/>
      <w:bookmarkStart w:id="190" w:name="_Toc15593"/>
      <w:bookmarkStart w:id="191" w:name="_Toc17331"/>
      <w:bookmarkStart w:id="192" w:name="_Toc9385"/>
      <w:bookmarkStart w:id="193" w:name="_Toc15673"/>
      <w:bookmarkStart w:id="194" w:name="_Toc16928"/>
      <w:bookmarkStart w:id="195" w:name="_Toc5553"/>
      <w:bookmarkStart w:id="196" w:name="_Toc15014"/>
      <w:bookmarkStart w:id="197" w:name="_Toc16471"/>
      <w:bookmarkStart w:id="198" w:name="_Toc30505"/>
      <w:bookmarkStart w:id="199" w:name="_Toc107"/>
      <w:bookmarkStart w:id="200" w:name="_Toc1430"/>
      <w:bookmarkStart w:id="201" w:name="_Toc7756"/>
      <w:bookmarkStart w:id="202" w:name="_Toc22102"/>
      <w:bookmarkStart w:id="203" w:name="_Toc26985"/>
      <w:bookmarkStart w:id="204" w:name="_Toc23109"/>
      <w:bookmarkStart w:id="205" w:name="_Toc21297"/>
      <w:bookmarkStart w:id="206" w:name="_Toc13773"/>
      <w:bookmarkStart w:id="207" w:name="_Toc18134"/>
      <w:bookmarkStart w:id="208" w:name="_Toc4853"/>
      <w:bookmarkStart w:id="209" w:name="_Toc13384"/>
      <w:bookmarkStart w:id="210" w:name="_Toc1916"/>
      <w:bookmarkStart w:id="211" w:name="_Toc3728"/>
      <w:bookmarkStart w:id="212" w:name="_Toc12009"/>
      <w:bookmarkStart w:id="213" w:name="_Toc24788"/>
      <w:bookmarkStart w:id="214" w:name="_Toc9197"/>
      <w:bookmarkStart w:id="215" w:name="_Toc15430"/>
      <w:bookmarkStart w:id="216" w:name="_Toc16363"/>
      <w:bookmarkStart w:id="217" w:name="_Toc32618"/>
      <w:bookmarkStart w:id="218" w:name="_Toc553"/>
      <w:bookmarkStart w:id="219" w:name="_Toc3098"/>
      <w:bookmarkStart w:id="220" w:name="_Toc17209"/>
      <w:bookmarkStart w:id="221" w:name="_Toc26551"/>
      <w:bookmarkStart w:id="222" w:name="_Toc7164"/>
      <w:bookmarkStart w:id="223" w:name="_Toc5966"/>
      <w:bookmarkStart w:id="224" w:name="_Toc1229"/>
      <w:bookmarkStart w:id="225" w:name="_Toc18042"/>
      <w:bookmarkStart w:id="226" w:name="_Toc30950"/>
      <w:bookmarkStart w:id="227" w:name="_Toc26245"/>
      <w:bookmarkStart w:id="228" w:name="_Toc21088"/>
      <w:bookmarkStart w:id="229" w:name="_Toc5808"/>
      <w:bookmarkStart w:id="230" w:name="_Toc30581"/>
      <w:bookmarkStart w:id="231" w:name="_Toc15289"/>
      <w:bookmarkStart w:id="232" w:name="_Toc27659"/>
      <w:bookmarkStart w:id="233" w:name="_Toc28139"/>
      <w:bookmarkStart w:id="234" w:name="_Toc8533"/>
      <w:bookmarkStart w:id="235" w:name="_Toc6519"/>
      <w:bookmarkStart w:id="236" w:name="_Toc21085"/>
      <w:bookmarkStart w:id="237" w:name="_Toc26477"/>
      <w:bookmarkStart w:id="238" w:name="_Toc21376"/>
      <w:bookmarkStart w:id="239" w:name="_Toc5328"/>
      <w:bookmarkStart w:id="240" w:name="_Toc32424"/>
      <w:bookmarkStart w:id="241" w:name="_Toc29953"/>
      <w:bookmarkStart w:id="242" w:name="_Toc5735"/>
      <w:bookmarkStart w:id="243" w:name="_Toc3185"/>
      <w:bookmarkStart w:id="244" w:name="_Toc28072"/>
      <w:bookmarkStart w:id="245" w:name="_Toc9893"/>
      <w:r>
        <w:rPr>
          <w:rFonts w:hint="default" w:ascii="宋体" w:hAnsi="宋体" w:eastAsia="楷体_GB2312" w:cs="Times New Roman"/>
          <w:b w:val="0"/>
          <w:bCs/>
          <w:color w:val="auto"/>
          <w:sz w:val="32"/>
          <w:szCs w:val="36"/>
          <w:highlight w:val="none"/>
          <w:lang w:eastAsia="zh-CN" w:bidi="ar"/>
        </w:rPr>
        <w:t>（</w:t>
      </w:r>
      <w:r>
        <w:rPr>
          <w:rFonts w:hint="default" w:ascii="宋体" w:hAnsi="宋体" w:eastAsia="楷体_GB2312" w:cs="Times New Roman"/>
          <w:b w:val="0"/>
          <w:bCs/>
          <w:color w:val="auto"/>
          <w:sz w:val="32"/>
          <w:szCs w:val="36"/>
          <w:highlight w:val="none"/>
          <w:lang w:val="en-US" w:eastAsia="zh-CN" w:bidi="ar"/>
        </w:rPr>
        <w:t>一</w:t>
      </w:r>
      <w:r>
        <w:rPr>
          <w:rFonts w:hint="default" w:ascii="宋体" w:hAnsi="宋体" w:eastAsia="楷体_GB2312" w:cs="Times New Roman"/>
          <w:b w:val="0"/>
          <w:bCs/>
          <w:color w:val="auto"/>
          <w:sz w:val="32"/>
          <w:szCs w:val="36"/>
          <w:highlight w:val="none"/>
          <w:lang w:eastAsia="zh-CN" w:bidi="ar"/>
        </w:rPr>
        <w:t>）</w:t>
      </w:r>
      <w:r>
        <w:rPr>
          <w:rFonts w:hint="eastAsia" w:ascii="宋体" w:hAnsi="宋体" w:eastAsia="楷体_GB2312" w:cs="Times New Roman"/>
          <w:b w:val="0"/>
          <w:bCs/>
          <w:color w:val="auto"/>
          <w:sz w:val="32"/>
          <w:szCs w:val="36"/>
          <w:highlight w:val="none"/>
          <w:lang w:bidi="ar"/>
        </w:rPr>
        <w:t>完善基本医疗保险制度</w:t>
      </w:r>
      <w:bookmarkEnd w:id="163"/>
      <w:bookmarkEnd w:id="164"/>
      <w:bookmarkEnd w:id="165"/>
      <w:bookmarkEnd w:id="166"/>
      <w:bookmarkEnd w:id="167"/>
    </w:p>
    <w:p w14:paraId="1381F03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提升基本医疗保险参保</w:t>
      </w:r>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r>
        <w:rPr>
          <w:rFonts w:hint="eastAsia" w:ascii="仿宋_GB2312" w:hAnsi="仿宋_GB2312" w:eastAsia="仿宋_GB2312" w:cs="仿宋_GB2312"/>
          <w:color w:val="auto"/>
          <w:sz w:val="32"/>
          <w:szCs w:val="32"/>
          <w:highlight w:val="none"/>
          <w:lang w:val="en-US" w:eastAsia="zh-CN"/>
        </w:rPr>
        <w:t>质效。</w:t>
      </w:r>
      <w:bookmarkStart w:id="246" w:name="_Toc5142"/>
      <w:bookmarkStart w:id="247" w:name="_Toc7131"/>
      <w:r>
        <w:rPr>
          <w:rFonts w:hint="eastAsia" w:ascii="仿宋_GB2312" w:hAnsi="仿宋_GB2312" w:eastAsia="仿宋_GB2312" w:cs="仿宋_GB2312"/>
          <w:color w:val="auto"/>
          <w:sz w:val="32"/>
          <w:szCs w:val="32"/>
          <w:highlight w:val="none"/>
          <w:lang w:val="en-US" w:eastAsia="zh-CN"/>
        </w:rPr>
        <w:t>深入实施全民参保计划，落实参保长效机制，分类精准施策，持续巩固拓展全民参保成果。强化“政府牵头+部门联动+专班推进”的协同高效机制，落实公民依法参加基本医保的权利和义务，引导公民增强自身健康第一责任人和主动参保意识。加强职工基本医疗保险参保登记、监管和缴费稽核，稳定职工基本医疗保险参保人数占比。持续落实新生儿“落地即参保”，探索对婴幼儿参加基本医疗保险提供资助。落实大学生参保按学制趸缴政策。进一步完善参保关系衔接政策。</w:t>
      </w:r>
      <w:bookmarkEnd w:id="246"/>
      <w:bookmarkEnd w:id="247"/>
    </w:p>
    <w:p w14:paraId="0F85D3A0">
      <w:pPr>
        <w:pStyle w:val="2"/>
        <w:rPr>
          <w:rFonts w:hint="default"/>
          <w:lang w:val="en-US" w:eastAsia="zh-CN"/>
        </w:rPr>
      </w:pPr>
    </w:p>
    <w:tbl>
      <w:tblPr>
        <w:tblStyle w:val="15"/>
        <w:tblW w:w="5000" w:type="pct"/>
        <w:jc w:val="center"/>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autofit"/>
        <w:tblCellMar>
          <w:top w:w="0" w:type="dxa"/>
          <w:left w:w="0" w:type="dxa"/>
          <w:bottom w:w="0" w:type="dxa"/>
          <w:right w:w="0" w:type="dxa"/>
        </w:tblCellMar>
      </w:tblPr>
      <w:tblGrid>
        <w:gridCol w:w="9061"/>
      </w:tblGrid>
      <w:tr w14:paraId="58FF91EA">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0" w:type="dxa"/>
            <w:bottom w:w="0" w:type="dxa"/>
            <w:right w:w="0" w:type="dxa"/>
          </w:tblCellMar>
        </w:tblPrEx>
        <w:trPr>
          <w:trHeight w:val="459" w:hRule="atLeast"/>
          <w:jc w:val="center"/>
        </w:trPr>
        <w:tc>
          <w:tcPr>
            <w:tcW w:w="5000" w:type="pct"/>
            <w:noWrap w:val="0"/>
            <w:tcMar>
              <w:left w:w="108" w:type="dxa"/>
              <w:right w:w="108" w:type="dxa"/>
            </w:tcMar>
            <w:vAlign w:val="center"/>
          </w:tcPr>
          <w:p w14:paraId="242144B1">
            <w:pPr>
              <w:pStyle w:val="18"/>
              <w:keepNext w:val="0"/>
              <w:keepLines w:val="0"/>
              <w:widowControl w:val="0"/>
              <w:suppressLineNumbers w:val="0"/>
              <w:shd w:val="clear" w:color="auto" w:fill="FFFFFF"/>
              <w:spacing w:before="0" w:beforeAutospacing="0" w:after="0" w:afterAutospacing="0"/>
              <w:ind w:left="0" w:right="0"/>
              <w:jc w:val="center"/>
              <w:rPr>
                <w:rFonts w:hint="default" w:ascii="Times New Roman" w:hAnsi="Times New Roman" w:eastAsia="黑体" w:cs="Times New Roman"/>
                <w:color w:val="auto"/>
                <w:highlight w:val="none"/>
                <w:lang w:val="en-US" w:eastAsia="zh-CN" w:bidi="ar"/>
              </w:rPr>
            </w:pPr>
            <w:r>
              <w:rPr>
                <w:rFonts w:hint="default" w:ascii="Times New Roman" w:hAnsi="Times New Roman" w:eastAsia="黑体" w:cs="Times New Roman"/>
                <w:color w:val="auto"/>
                <w:sz w:val="28"/>
                <w:szCs w:val="28"/>
                <w:highlight w:val="none"/>
                <w:lang w:bidi="ar"/>
              </w:rPr>
              <w:t>专栏</w:t>
            </w:r>
            <w:r>
              <w:rPr>
                <w:rFonts w:hint="default" w:ascii="Times New Roman" w:hAnsi="Times New Roman" w:eastAsia="黑体" w:cs="Times New Roman"/>
                <w:color w:val="auto"/>
                <w:sz w:val="28"/>
                <w:szCs w:val="28"/>
                <w:highlight w:val="none"/>
                <w:lang w:val="en-US" w:eastAsia="zh-CN" w:bidi="ar"/>
              </w:rPr>
              <w:t>1</w:t>
            </w:r>
            <w:r>
              <w:rPr>
                <w:rFonts w:hint="default" w:ascii="Times New Roman" w:hAnsi="Times New Roman" w:eastAsia="黑体" w:cs="Times New Roman"/>
                <w:color w:val="auto"/>
                <w:sz w:val="28"/>
                <w:szCs w:val="28"/>
                <w:highlight w:val="none"/>
                <w:lang w:bidi="ar"/>
              </w:rPr>
              <w:t xml:space="preserve"> </w:t>
            </w:r>
            <w:r>
              <w:rPr>
                <w:rFonts w:hint="eastAsia" w:ascii="Times New Roman" w:hAnsi="Times New Roman" w:eastAsia="黑体" w:cs="Times New Roman"/>
                <w:color w:val="auto"/>
                <w:sz w:val="28"/>
                <w:szCs w:val="28"/>
                <w:highlight w:val="none"/>
                <w:lang w:val="en-US" w:eastAsia="zh-CN" w:bidi="ar"/>
              </w:rPr>
              <w:t>提升全民</w:t>
            </w:r>
            <w:r>
              <w:rPr>
                <w:rFonts w:hint="default" w:ascii="Times New Roman" w:hAnsi="Times New Roman" w:eastAsia="黑体" w:cs="Times New Roman"/>
                <w:color w:val="auto"/>
                <w:sz w:val="28"/>
                <w:szCs w:val="28"/>
                <w:highlight w:val="none"/>
                <w:lang w:bidi="ar"/>
              </w:rPr>
              <w:t>参保</w:t>
            </w:r>
            <w:r>
              <w:rPr>
                <w:rFonts w:hint="eastAsia" w:ascii="Times New Roman" w:hAnsi="Times New Roman" w:eastAsia="黑体" w:cs="Times New Roman"/>
                <w:color w:val="auto"/>
                <w:sz w:val="28"/>
                <w:szCs w:val="28"/>
                <w:highlight w:val="none"/>
                <w:lang w:val="en-US" w:eastAsia="zh-CN" w:bidi="ar"/>
              </w:rPr>
              <w:t>质效</w:t>
            </w:r>
          </w:p>
        </w:tc>
      </w:tr>
      <w:tr w14:paraId="40C9507E">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0" w:type="dxa"/>
            <w:bottom w:w="0" w:type="dxa"/>
            <w:right w:w="0" w:type="dxa"/>
          </w:tblCellMar>
        </w:tblPrEx>
        <w:trPr>
          <w:trHeight w:val="1053" w:hRule="atLeast"/>
          <w:jc w:val="center"/>
        </w:trPr>
        <w:tc>
          <w:tcPr>
            <w:tcW w:w="5000" w:type="pct"/>
            <w:noWrap w:val="0"/>
            <w:tcMar>
              <w:left w:w="108" w:type="dxa"/>
              <w:right w:w="108" w:type="dxa"/>
            </w:tcMar>
            <w:vAlign w:val="center"/>
          </w:tcPr>
          <w:p w14:paraId="5E0BAE14">
            <w:pPr>
              <w:keepNext w:val="0"/>
              <w:keepLines w:val="0"/>
              <w:suppressLineNumbers w:val="0"/>
              <w:spacing w:before="0" w:beforeAutospacing="0" w:after="0" w:afterAutospacing="0" w:line="400" w:lineRule="exact"/>
              <w:ind w:left="0" w:right="0" w:firstLine="420" w:firstLineChars="200"/>
              <w:rPr>
                <w:rFonts w:hint="default" w:ascii="宋体" w:hAnsi="宋体" w:eastAsia="宋体" w:cs="宋体"/>
                <w:snapToGrid w:val="0"/>
                <w:color w:val="auto"/>
                <w:sz w:val="21"/>
                <w:szCs w:val="21"/>
                <w:highlight w:val="none"/>
                <w:lang w:val="en-US" w:eastAsia="zh-CN" w:bidi="ar"/>
              </w:rPr>
            </w:pPr>
            <w:r>
              <w:rPr>
                <w:rFonts w:hint="eastAsia" w:ascii="宋体" w:hAnsi="宋体" w:eastAsia="宋体" w:cs="宋体"/>
                <w:snapToGrid w:val="0"/>
                <w:color w:val="auto"/>
                <w:sz w:val="21"/>
                <w:szCs w:val="21"/>
                <w:highlight w:val="none"/>
                <w:lang w:val="en-US" w:eastAsia="zh-CN" w:bidi="ar"/>
              </w:rPr>
              <w:t>1.完善</w:t>
            </w:r>
            <w:r>
              <w:rPr>
                <w:rFonts w:hint="eastAsia" w:ascii="宋体" w:hAnsi="宋体" w:eastAsia="宋体" w:cs="宋体"/>
                <w:snapToGrid w:val="0"/>
                <w:color w:val="auto"/>
                <w:sz w:val="21"/>
                <w:szCs w:val="21"/>
                <w:highlight w:val="none"/>
                <w:lang w:bidi="ar"/>
              </w:rPr>
              <w:t>“一人一档”全民参保数据库，</w:t>
            </w:r>
            <w:r>
              <w:rPr>
                <w:rFonts w:hint="eastAsia" w:ascii="宋体" w:hAnsi="宋体" w:eastAsia="宋体" w:cs="宋体"/>
                <w:snapToGrid w:val="0"/>
                <w:color w:val="auto"/>
                <w:sz w:val="21"/>
                <w:szCs w:val="21"/>
                <w:highlight w:val="none"/>
                <w:lang w:val="en-US" w:eastAsia="zh-CN" w:bidi="ar"/>
              </w:rPr>
              <w:t>实现参保状态动态监测精准识别，推进精准扩面与管理。</w:t>
            </w:r>
          </w:p>
          <w:p w14:paraId="7FEDA3D1">
            <w:pPr>
              <w:keepNext w:val="0"/>
              <w:keepLines w:val="0"/>
              <w:suppressLineNumbers w:val="0"/>
              <w:spacing w:before="0" w:beforeAutospacing="0" w:after="0" w:afterAutospacing="0" w:line="400" w:lineRule="exact"/>
              <w:ind w:left="0" w:right="0" w:firstLine="420" w:firstLineChars="200"/>
              <w:rPr>
                <w:rFonts w:hint="eastAsia" w:ascii="宋体" w:hAnsi="宋体" w:eastAsia="宋体" w:cs="宋体"/>
                <w:snapToGrid w:val="0"/>
                <w:color w:val="auto"/>
                <w:sz w:val="21"/>
                <w:szCs w:val="21"/>
                <w:highlight w:val="none"/>
                <w:lang w:val="en-US" w:eastAsia="zh-CN" w:bidi="ar"/>
              </w:rPr>
            </w:pPr>
            <w:r>
              <w:rPr>
                <w:rFonts w:hint="eastAsia" w:ascii="宋体" w:hAnsi="宋体" w:eastAsia="宋体" w:cs="宋体"/>
                <w:snapToGrid w:val="0"/>
                <w:color w:val="auto"/>
                <w:sz w:val="21"/>
                <w:szCs w:val="21"/>
                <w:highlight w:val="none"/>
                <w:lang w:val="en-US" w:eastAsia="zh-CN" w:bidi="ar"/>
              </w:rPr>
              <w:t>2.落实持居住证参加城乡居民基本医疗保险政策。支持灵活就业人员、</w:t>
            </w:r>
            <w:r>
              <w:rPr>
                <w:rFonts w:hint="eastAsia" w:ascii="宋体" w:hAnsi="宋体" w:eastAsia="宋体" w:cs="宋体"/>
                <w:snapToGrid w:val="0"/>
                <w:color w:val="auto"/>
                <w:sz w:val="21"/>
                <w:szCs w:val="21"/>
                <w:highlight w:val="none"/>
                <w:lang w:eastAsia="zh-CN" w:bidi="ar"/>
              </w:rPr>
              <w:t>农民工、</w:t>
            </w:r>
            <w:r>
              <w:rPr>
                <w:rFonts w:hint="eastAsia" w:ascii="宋体" w:hAnsi="宋体" w:eastAsia="宋体" w:cs="宋体"/>
                <w:snapToGrid w:val="0"/>
                <w:color w:val="auto"/>
                <w:sz w:val="21"/>
                <w:szCs w:val="21"/>
                <w:highlight w:val="none"/>
                <w:lang w:val="en-US" w:eastAsia="zh-CN" w:bidi="ar"/>
              </w:rPr>
              <w:t>新就业形态人员参加职工基本医疗保险</w:t>
            </w:r>
            <w:r>
              <w:rPr>
                <w:rFonts w:hint="eastAsia" w:ascii="宋体" w:hAnsi="宋体" w:eastAsia="宋体" w:cs="宋体"/>
                <w:snapToGrid w:val="0"/>
                <w:color w:val="auto"/>
                <w:sz w:val="21"/>
                <w:szCs w:val="21"/>
                <w:highlight w:val="none"/>
                <w:lang w:eastAsia="zh-CN" w:bidi="ar"/>
              </w:rPr>
              <w:t>，</w:t>
            </w:r>
            <w:r>
              <w:rPr>
                <w:rFonts w:hint="eastAsia" w:ascii="宋体" w:hAnsi="宋体" w:eastAsia="宋体" w:cs="宋体"/>
                <w:snapToGrid w:val="0"/>
                <w:color w:val="auto"/>
                <w:sz w:val="21"/>
                <w:szCs w:val="21"/>
                <w:highlight w:val="none"/>
                <w:lang w:val="en-US" w:eastAsia="zh-CN" w:bidi="ar"/>
              </w:rPr>
              <w:t>探索与工作形式相适配的灵活缴费方式，明晰用工方和平台企业缴费责任，加强其权益保障。</w:t>
            </w:r>
          </w:p>
          <w:p w14:paraId="403072CB">
            <w:pPr>
              <w:keepNext w:val="0"/>
              <w:keepLines w:val="0"/>
              <w:suppressLineNumbers w:val="0"/>
              <w:spacing w:before="0" w:beforeAutospacing="0" w:after="0" w:afterAutospacing="0" w:line="400" w:lineRule="exact"/>
              <w:ind w:left="0" w:right="0" w:firstLine="420" w:firstLineChars="200"/>
              <w:rPr>
                <w:rFonts w:hint="eastAsia" w:ascii="宋体" w:hAnsi="宋体" w:eastAsia="宋体" w:cs="宋体"/>
                <w:snapToGrid w:val="0"/>
                <w:color w:val="auto"/>
                <w:sz w:val="21"/>
                <w:szCs w:val="21"/>
                <w:highlight w:val="none"/>
                <w:lang w:val="en-US" w:eastAsia="zh-CN" w:bidi="ar"/>
              </w:rPr>
            </w:pPr>
            <w:r>
              <w:rPr>
                <w:rFonts w:hint="eastAsia" w:ascii="宋体" w:hAnsi="宋体" w:eastAsia="宋体" w:cs="宋体"/>
                <w:snapToGrid w:val="0"/>
                <w:color w:val="auto"/>
                <w:sz w:val="21"/>
                <w:szCs w:val="21"/>
                <w:highlight w:val="none"/>
                <w:lang w:val="en-US" w:eastAsia="zh-CN" w:bidi="ar"/>
              </w:rPr>
              <w:t>3.依托国家医疗保障信息平台，健全参保信息比对机制，衔接国家统一的参保登记入口，提升与社会保险费征缴系统的对接效率。</w:t>
            </w:r>
          </w:p>
          <w:p w14:paraId="2F1E00E7">
            <w:pPr>
              <w:keepNext w:val="0"/>
              <w:keepLines w:val="0"/>
              <w:suppressLineNumbers w:val="0"/>
              <w:spacing w:before="0" w:beforeAutospacing="0" w:after="0" w:afterAutospacing="0" w:line="400" w:lineRule="exact"/>
              <w:ind w:left="0" w:right="0" w:firstLine="420" w:firstLineChars="200"/>
              <w:rPr>
                <w:rFonts w:hint="default" w:ascii="Times New Roman" w:hAnsi="Times New Roman" w:eastAsia="宋体" w:cs="Times New Roman"/>
                <w:color w:val="auto"/>
                <w:sz w:val="24"/>
                <w:szCs w:val="24"/>
                <w:highlight w:val="none"/>
                <w:lang w:val="en-US" w:eastAsia="zh-CN" w:bidi="ar"/>
              </w:rPr>
            </w:pPr>
            <w:r>
              <w:rPr>
                <w:rFonts w:hint="eastAsia" w:ascii="宋体" w:hAnsi="宋体" w:eastAsia="宋体" w:cs="宋体"/>
                <w:snapToGrid w:val="0"/>
                <w:color w:val="auto"/>
                <w:sz w:val="21"/>
                <w:szCs w:val="21"/>
                <w:highlight w:val="none"/>
                <w:lang w:val="en-US" w:eastAsia="zh-CN" w:bidi="ar"/>
              </w:rPr>
              <w:t>4.探索多元化参保资助渠道，持续推动有条件的</w:t>
            </w:r>
            <w:r>
              <w:rPr>
                <w:rFonts w:hint="eastAsia" w:ascii="宋体" w:hAnsi="宋体" w:eastAsia="宋体" w:cs="宋体"/>
                <w:snapToGrid w:val="0"/>
                <w:color w:val="auto"/>
                <w:sz w:val="21"/>
                <w:szCs w:val="21"/>
                <w:highlight w:val="none"/>
                <w:lang w:bidi="ar"/>
              </w:rPr>
              <w:t>村集体经济组织</w:t>
            </w:r>
            <w:r>
              <w:rPr>
                <w:rFonts w:hint="eastAsia" w:ascii="宋体" w:hAnsi="宋体" w:eastAsia="宋体" w:cs="宋体"/>
                <w:snapToGrid w:val="0"/>
                <w:color w:val="auto"/>
                <w:sz w:val="21"/>
                <w:szCs w:val="21"/>
                <w:highlight w:val="none"/>
                <w:lang w:val="en-US" w:eastAsia="zh-CN" w:bidi="ar"/>
              </w:rPr>
              <w:t>补贴居民参保缴费。</w:t>
            </w:r>
          </w:p>
        </w:tc>
      </w:tr>
    </w:tbl>
    <w:p w14:paraId="616BA11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color w:val="FF0000"/>
          <w:sz w:val="32"/>
          <w:szCs w:val="32"/>
          <w:highlight w:val="none"/>
          <w:lang w:val="en-US" w:eastAsia="zh-CN"/>
        </w:rPr>
      </w:pPr>
      <w:r>
        <w:rPr>
          <w:rFonts w:hint="default" w:ascii="仿宋_GB2312" w:hAnsi="仿宋_GB2312" w:eastAsia="仿宋_GB2312" w:cs="仿宋_GB2312"/>
          <w:color w:val="auto"/>
          <w:sz w:val="32"/>
          <w:szCs w:val="32"/>
          <w:highlight w:val="none"/>
          <w:lang w:val="en-US" w:eastAsia="zh-CN"/>
        </w:rPr>
        <w:t>优化筹资机制。均衡个人、用人单位和政府筹资责任，推动多元筹资。规范职工基本医疗保险筹资缴费政策。探索建立与经济发展水平</w:t>
      </w:r>
      <w:r>
        <w:rPr>
          <w:rFonts w:hint="eastAsia" w:ascii="仿宋_GB2312" w:hAnsi="仿宋_GB2312" w:eastAsia="仿宋_GB2312" w:cs="仿宋_GB2312"/>
          <w:color w:val="auto"/>
          <w:sz w:val="32"/>
          <w:szCs w:val="32"/>
          <w:highlight w:val="none"/>
          <w:lang w:val="en-US" w:eastAsia="zh-CN"/>
        </w:rPr>
        <w:t>相适配的城乡居民基本医疗保险</w:t>
      </w:r>
      <w:r>
        <w:rPr>
          <w:rFonts w:hint="default" w:ascii="仿宋_GB2312" w:hAnsi="仿宋_GB2312" w:eastAsia="仿宋_GB2312" w:cs="仿宋_GB2312"/>
          <w:color w:val="auto"/>
          <w:sz w:val="32"/>
          <w:szCs w:val="32"/>
          <w:highlight w:val="none"/>
          <w:lang w:val="en-US" w:eastAsia="zh-CN"/>
        </w:rPr>
        <w:t>筹资机制。</w:t>
      </w:r>
    </w:p>
    <w:p w14:paraId="0032C0A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default" w:ascii="仿宋_GB2312" w:hAnsi="仿宋_GB2312" w:eastAsia="仿宋_GB2312" w:cs="仿宋_GB2312"/>
          <w:color w:val="auto"/>
          <w:sz w:val="32"/>
          <w:szCs w:val="32"/>
          <w:highlight w:val="none"/>
          <w:lang w:val="en-US" w:eastAsia="zh-CN"/>
        </w:rPr>
        <w:t>健全公平适度待遇保障机制。</w:t>
      </w:r>
      <w:r>
        <w:rPr>
          <w:rFonts w:hint="eastAsia" w:ascii="仿宋_GB2312" w:hAnsi="仿宋_GB2312" w:eastAsia="仿宋_GB2312" w:cs="仿宋_GB2312"/>
          <w:color w:val="auto"/>
          <w:sz w:val="32"/>
          <w:szCs w:val="32"/>
          <w:highlight w:val="none"/>
          <w:lang w:val="en-US" w:eastAsia="zh-CN"/>
        </w:rPr>
        <w:t>坚持基本医保“保基本”，</w:t>
      </w:r>
      <w:r>
        <w:rPr>
          <w:rFonts w:hint="default" w:ascii="仿宋_GB2312" w:hAnsi="仿宋_GB2312" w:eastAsia="仿宋_GB2312" w:cs="仿宋_GB2312"/>
          <w:color w:val="auto"/>
          <w:sz w:val="32"/>
          <w:szCs w:val="32"/>
          <w:highlight w:val="none"/>
          <w:lang w:val="en-US" w:eastAsia="zh-CN"/>
        </w:rPr>
        <w:t>严格执行医疗保障待遇清单制度</w:t>
      </w:r>
      <w:r>
        <w:rPr>
          <w:rFonts w:hint="eastAsia" w:ascii="仿宋_GB2312" w:hAnsi="仿宋_GB2312" w:eastAsia="仿宋_GB2312" w:cs="仿宋_GB2312"/>
          <w:color w:val="auto"/>
          <w:sz w:val="32"/>
          <w:szCs w:val="32"/>
          <w:highlight w:val="none"/>
          <w:lang w:val="en-US" w:eastAsia="zh-CN"/>
        </w:rPr>
        <w:t>。巩固职工基本医疗保险、城乡居民基本医疗保险待遇水平，职工基本医疗保险、城乡居民基本医疗保险保持合理差距，报销政策向基层倾斜。规范统一全省门诊慢性病、门诊特殊疾病保障政策。</w:t>
      </w:r>
    </w:p>
    <w:p w14:paraId="618CBD3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稳步推进基本医保省级统筹。开展全省政策规范行动，推动地区间政策、管理和服务规范统一。健全以事前调剂为主的基金统筹调剂机制，提升基金抗风险能力。建立科学的基金管理运行评价机制，强化分级管理，压实市、县分级管理责任。</w:t>
      </w:r>
    </w:p>
    <w:p w14:paraId="68F9EAD7">
      <w:pPr>
        <w:pStyle w:val="5"/>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both"/>
        <w:textAlignment w:val="auto"/>
        <w:outlineLvl w:val="1"/>
        <w:rPr>
          <w:rFonts w:hint="eastAsia" w:ascii="宋体" w:hAnsi="宋体" w:eastAsia="楷体_GB2312" w:cs="Times New Roman"/>
          <w:b w:val="0"/>
          <w:bCs/>
          <w:color w:val="auto"/>
          <w:sz w:val="32"/>
          <w:szCs w:val="36"/>
          <w:highlight w:val="none"/>
          <w:lang w:eastAsia="zh-CN" w:bidi="ar"/>
        </w:rPr>
      </w:pPr>
      <w:bookmarkStart w:id="248" w:name="_Toc30647"/>
      <w:bookmarkStart w:id="249" w:name="_Toc8812"/>
      <w:bookmarkStart w:id="250" w:name="_Toc15533"/>
      <w:bookmarkStart w:id="251" w:name="_Toc30461"/>
      <w:bookmarkStart w:id="252" w:name="_Toc23152"/>
      <w:bookmarkStart w:id="253" w:name="_Toc14049"/>
      <w:bookmarkStart w:id="254" w:name="_Toc30840"/>
      <w:r>
        <w:rPr>
          <w:rFonts w:hint="eastAsia" w:ascii="宋体" w:hAnsi="宋体" w:eastAsia="楷体_GB2312" w:cs="Times New Roman"/>
          <w:b w:val="0"/>
          <w:bCs/>
          <w:color w:val="auto"/>
          <w:sz w:val="32"/>
          <w:szCs w:val="36"/>
          <w:highlight w:val="none"/>
          <w:lang w:val="en-US" w:eastAsia="zh-CN" w:bidi="ar"/>
        </w:rPr>
        <w:t>（二）</w:t>
      </w:r>
      <w:r>
        <w:rPr>
          <w:rFonts w:hint="eastAsia" w:ascii="宋体" w:hAnsi="宋体" w:eastAsia="楷体_GB2312" w:cs="Times New Roman"/>
          <w:b w:val="0"/>
          <w:bCs/>
          <w:color w:val="auto"/>
          <w:sz w:val="32"/>
          <w:szCs w:val="36"/>
          <w:highlight w:val="none"/>
          <w:lang w:eastAsia="zh-CN" w:bidi="ar"/>
        </w:rPr>
        <w:t>规范补充医疗保险</w:t>
      </w:r>
      <w:bookmarkEnd w:id="248"/>
      <w:bookmarkEnd w:id="249"/>
      <w:bookmarkEnd w:id="250"/>
      <w:bookmarkEnd w:id="251"/>
      <w:bookmarkEnd w:id="252"/>
      <w:bookmarkEnd w:id="253"/>
      <w:bookmarkEnd w:id="254"/>
    </w:p>
    <w:p w14:paraId="68CCE90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规范城乡居民大病保险筹资标准、起付标准、分段报销比例、最高支付限额、支付范围等政策。城乡居民大病保险对符合规定的困难人群实施倾斜支付。规范职工大额医疗费用补助制度。加强对</w:t>
      </w:r>
      <w:r>
        <w:rPr>
          <w:rFonts w:hint="default" w:ascii="仿宋_GB2312" w:hAnsi="仿宋_GB2312" w:eastAsia="仿宋_GB2312" w:cs="仿宋_GB2312"/>
          <w:color w:val="auto"/>
          <w:sz w:val="32"/>
          <w:szCs w:val="32"/>
          <w:highlight w:val="none"/>
          <w:lang w:val="en-US" w:eastAsia="zh-CN"/>
        </w:rPr>
        <w:t>补充医疗保险资金使用</w:t>
      </w:r>
      <w:r>
        <w:rPr>
          <w:rFonts w:hint="eastAsia" w:ascii="仿宋_GB2312" w:hAnsi="仿宋_GB2312" w:eastAsia="仿宋_GB2312" w:cs="仿宋_GB2312"/>
          <w:color w:val="auto"/>
          <w:sz w:val="32"/>
          <w:szCs w:val="32"/>
          <w:highlight w:val="none"/>
          <w:lang w:val="en-US" w:eastAsia="zh-CN"/>
        </w:rPr>
        <w:t>和经办管理</w:t>
      </w:r>
      <w:r>
        <w:rPr>
          <w:rFonts w:hint="default" w:ascii="仿宋_GB2312" w:hAnsi="仿宋_GB2312" w:eastAsia="仿宋_GB2312" w:cs="仿宋_GB2312"/>
          <w:color w:val="auto"/>
          <w:sz w:val="32"/>
          <w:szCs w:val="32"/>
          <w:highlight w:val="none"/>
          <w:lang w:val="en-US" w:eastAsia="zh-CN"/>
        </w:rPr>
        <w:t>。</w:t>
      </w:r>
    </w:p>
    <w:p w14:paraId="6B3679A6">
      <w:pPr>
        <w:pStyle w:val="5"/>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both"/>
        <w:textAlignment w:val="auto"/>
        <w:outlineLvl w:val="1"/>
        <w:rPr>
          <w:rFonts w:hint="default" w:ascii="宋体" w:hAnsi="宋体" w:eastAsia="楷体_GB2312" w:cs="Times New Roman"/>
          <w:b w:val="0"/>
          <w:bCs/>
          <w:color w:val="auto"/>
          <w:sz w:val="32"/>
          <w:szCs w:val="36"/>
          <w:highlight w:val="none"/>
          <w:lang w:eastAsia="zh-CN" w:bidi="ar"/>
        </w:rPr>
      </w:pPr>
      <w:bookmarkStart w:id="255" w:name="_Toc7825"/>
      <w:bookmarkStart w:id="256" w:name="_Toc28393"/>
      <w:bookmarkStart w:id="257" w:name="_Toc31128"/>
      <w:r>
        <w:rPr>
          <w:rFonts w:hint="eastAsia" w:ascii="宋体" w:hAnsi="宋体" w:eastAsia="楷体_GB2312" w:cs="Times New Roman"/>
          <w:b w:val="0"/>
          <w:bCs/>
          <w:color w:val="auto"/>
          <w:sz w:val="32"/>
          <w:szCs w:val="36"/>
          <w:highlight w:val="none"/>
          <w:lang w:val="en-US" w:eastAsia="zh-CN" w:bidi="ar"/>
        </w:rPr>
        <w:t>（三）完善医疗救助制度</w:t>
      </w:r>
      <w:bookmarkEnd w:id="255"/>
      <w:bookmarkEnd w:id="256"/>
      <w:bookmarkEnd w:id="257"/>
    </w:p>
    <w:p w14:paraId="5D5E598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color w:val="auto"/>
          <w:sz w:val="32"/>
          <w:szCs w:val="32"/>
          <w:highlight w:val="none"/>
          <w:lang w:val="en-US" w:eastAsia="zh-CN"/>
        </w:rPr>
      </w:pPr>
      <w:r>
        <w:rPr>
          <w:rFonts w:hint="default" w:ascii="仿宋_GB2312" w:hAnsi="仿宋_GB2312" w:eastAsia="仿宋_GB2312" w:cs="仿宋_GB2312"/>
          <w:color w:val="auto"/>
          <w:sz w:val="32"/>
          <w:szCs w:val="32"/>
          <w:highlight w:val="none"/>
          <w:lang w:val="en-US" w:eastAsia="zh-CN"/>
        </w:rPr>
        <w:t>优化医疗救助分类资助参保政策，科学设定救助标准，完善医保常态化帮扶措施。健全防范化解因病返贫致贫长效机制，强化救助对象信息共享和高额医疗费用负担患者监测预警。拓宽医疗救助基金筹资渠道，合理安排财政补助资金。强化困难群众就医服务管理。</w:t>
      </w:r>
    </w:p>
    <w:p w14:paraId="5BBD7E0A">
      <w:pPr>
        <w:pStyle w:val="5"/>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both"/>
        <w:textAlignment w:val="auto"/>
        <w:outlineLvl w:val="1"/>
        <w:rPr>
          <w:rFonts w:hint="eastAsia" w:ascii="宋体" w:hAnsi="宋体" w:eastAsia="楷体_GB2312" w:cs="Times New Roman"/>
          <w:b w:val="0"/>
          <w:bCs/>
          <w:color w:val="auto"/>
          <w:sz w:val="32"/>
          <w:szCs w:val="36"/>
          <w:highlight w:val="none"/>
          <w:lang w:eastAsia="zh-CN" w:bidi="ar"/>
        </w:rPr>
      </w:pPr>
      <w:bookmarkStart w:id="258" w:name="_Toc4064"/>
      <w:bookmarkStart w:id="259" w:name="_Toc3422"/>
      <w:bookmarkStart w:id="260" w:name="_Toc11091"/>
      <w:bookmarkStart w:id="261" w:name="_Toc31361"/>
      <w:bookmarkStart w:id="262" w:name="_Toc8036"/>
      <w:bookmarkStart w:id="263" w:name="_Toc7712"/>
      <w:bookmarkStart w:id="264" w:name="_Toc19928"/>
      <w:bookmarkStart w:id="265" w:name="_Toc16816"/>
      <w:bookmarkStart w:id="266" w:name="_Toc167"/>
      <w:bookmarkStart w:id="267" w:name="_Toc21226"/>
      <w:bookmarkStart w:id="268" w:name="_Toc2447"/>
      <w:bookmarkStart w:id="269" w:name="_Toc30787"/>
      <w:bookmarkStart w:id="270" w:name="_Toc31220"/>
      <w:bookmarkStart w:id="271" w:name="_Toc22231"/>
      <w:bookmarkStart w:id="272" w:name="_Toc20714"/>
      <w:bookmarkStart w:id="273" w:name="_Toc32553"/>
      <w:bookmarkStart w:id="274" w:name="_Toc20831"/>
      <w:bookmarkStart w:id="275" w:name="_Toc32596"/>
      <w:bookmarkStart w:id="276" w:name="_Toc12411"/>
      <w:bookmarkStart w:id="277" w:name="_Toc23843"/>
      <w:bookmarkStart w:id="278" w:name="_Toc11653"/>
      <w:bookmarkStart w:id="279" w:name="_Toc16079"/>
      <w:bookmarkStart w:id="280" w:name="_Toc2875"/>
      <w:bookmarkStart w:id="281" w:name="_Toc16981"/>
      <w:bookmarkStart w:id="282" w:name="_Toc22808"/>
      <w:bookmarkStart w:id="283" w:name="_Toc14010"/>
      <w:bookmarkStart w:id="284" w:name="_Toc10963"/>
      <w:bookmarkStart w:id="285" w:name="_Toc977"/>
      <w:bookmarkStart w:id="286" w:name="_Toc2273"/>
      <w:bookmarkStart w:id="287" w:name="_Toc27130"/>
      <w:bookmarkStart w:id="288" w:name="_Toc31364"/>
      <w:bookmarkStart w:id="289" w:name="_Toc22357"/>
      <w:bookmarkStart w:id="290" w:name="_Toc4876"/>
      <w:bookmarkStart w:id="291" w:name="_Toc6637"/>
      <w:bookmarkStart w:id="292" w:name="_Toc14018"/>
      <w:bookmarkStart w:id="293" w:name="_Toc10870"/>
      <w:bookmarkStart w:id="294" w:name="_Toc7655"/>
      <w:bookmarkStart w:id="295" w:name="_Toc22764"/>
      <w:bookmarkStart w:id="296" w:name="_Toc3539"/>
      <w:bookmarkStart w:id="297" w:name="_Toc27739"/>
      <w:bookmarkStart w:id="298" w:name="_Toc9165"/>
      <w:bookmarkStart w:id="299" w:name="_Toc15806"/>
      <w:bookmarkStart w:id="300" w:name="_Toc30634"/>
      <w:bookmarkStart w:id="301" w:name="_Toc24017"/>
      <w:bookmarkStart w:id="302" w:name="_Toc19700"/>
      <w:bookmarkStart w:id="303" w:name="_Toc15797"/>
      <w:bookmarkStart w:id="304" w:name="_Toc728"/>
      <w:bookmarkStart w:id="305" w:name="_Toc8168"/>
      <w:bookmarkStart w:id="306" w:name="_Toc14931"/>
      <w:bookmarkStart w:id="307" w:name="_Toc19929"/>
      <w:bookmarkStart w:id="308" w:name="_Toc29214"/>
      <w:bookmarkStart w:id="309" w:name="_Toc13881"/>
      <w:bookmarkStart w:id="310" w:name="_Toc19245"/>
      <w:bookmarkStart w:id="311" w:name="_Toc4818"/>
      <w:bookmarkStart w:id="312" w:name="_Toc13487"/>
      <w:bookmarkStart w:id="313" w:name="_Toc27915"/>
      <w:r>
        <w:rPr>
          <w:rFonts w:hint="eastAsia" w:ascii="宋体" w:hAnsi="宋体" w:eastAsia="楷体_GB2312" w:cs="Times New Roman"/>
          <w:b w:val="0"/>
          <w:bCs/>
          <w:color w:val="auto"/>
          <w:sz w:val="32"/>
          <w:szCs w:val="36"/>
          <w:highlight w:val="none"/>
          <w:lang w:val="en-US" w:eastAsia="zh-CN" w:bidi="ar"/>
        </w:rPr>
        <w:t>（四）优化</w:t>
      </w:r>
      <w:r>
        <w:rPr>
          <w:rFonts w:hint="eastAsia" w:ascii="宋体" w:hAnsi="宋体" w:eastAsia="楷体_GB2312" w:cs="Times New Roman"/>
          <w:b w:val="0"/>
          <w:bCs/>
          <w:color w:val="auto"/>
          <w:sz w:val="32"/>
          <w:szCs w:val="36"/>
          <w:highlight w:val="none"/>
          <w:lang w:eastAsia="zh-CN" w:bidi="ar"/>
        </w:rPr>
        <w:t>生育保险制度</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p>
    <w:p w14:paraId="3E8CB53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default" w:ascii="仿宋_GB2312" w:hAnsi="仿宋_GB2312" w:eastAsia="仿宋_GB2312" w:cs="仿宋_GB2312"/>
          <w:color w:val="auto"/>
          <w:sz w:val="32"/>
          <w:szCs w:val="32"/>
          <w:highlight w:val="none"/>
          <w:lang w:val="en-US" w:eastAsia="zh-CN"/>
        </w:rPr>
        <w:t>积极支持生育友好型社会建设</w:t>
      </w:r>
      <w:r>
        <w:rPr>
          <w:rFonts w:hint="eastAsia" w:ascii="仿宋_GB2312" w:hAnsi="仿宋_GB2312" w:eastAsia="仿宋_GB2312" w:cs="仿宋_GB2312"/>
          <w:color w:val="auto"/>
          <w:sz w:val="32"/>
          <w:szCs w:val="32"/>
          <w:highlight w:val="none"/>
          <w:lang w:val="en-US" w:eastAsia="zh-CN"/>
        </w:rPr>
        <w:t>。落实用人单位职工依法参加生育保险，推动</w:t>
      </w:r>
      <w:r>
        <w:rPr>
          <w:rFonts w:hint="default" w:ascii="仿宋_GB2312" w:hAnsi="仿宋_GB2312" w:eastAsia="仿宋_GB2312" w:cs="仿宋_GB2312"/>
          <w:color w:val="auto"/>
          <w:sz w:val="32"/>
          <w:szCs w:val="32"/>
          <w:highlight w:val="none"/>
          <w:lang w:val="en-US" w:eastAsia="zh-CN"/>
        </w:rPr>
        <w:t>参加职工基本医疗保险的灵活就业人员、农民工、新就业形态人员</w:t>
      </w:r>
      <w:r>
        <w:rPr>
          <w:rFonts w:hint="eastAsia" w:ascii="仿宋_GB2312" w:hAnsi="仿宋_GB2312" w:eastAsia="仿宋_GB2312" w:cs="仿宋_GB2312"/>
          <w:color w:val="auto"/>
          <w:sz w:val="32"/>
          <w:szCs w:val="32"/>
          <w:highlight w:val="none"/>
          <w:lang w:val="en-US" w:eastAsia="zh-CN"/>
        </w:rPr>
        <w:t>同步</w:t>
      </w:r>
      <w:r>
        <w:rPr>
          <w:rFonts w:hint="default" w:ascii="仿宋_GB2312" w:hAnsi="仿宋_GB2312" w:eastAsia="仿宋_GB2312" w:cs="仿宋_GB2312"/>
          <w:color w:val="auto"/>
          <w:sz w:val="32"/>
          <w:szCs w:val="32"/>
          <w:highlight w:val="none"/>
          <w:lang w:val="en-US" w:eastAsia="zh-CN"/>
        </w:rPr>
        <w:t>参加生育保险</w:t>
      </w:r>
      <w:r>
        <w:rPr>
          <w:rFonts w:hint="eastAsia" w:ascii="仿宋_GB2312" w:hAnsi="仿宋_GB2312" w:eastAsia="仿宋_GB2312" w:cs="仿宋_GB2312"/>
          <w:color w:val="auto"/>
          <w:sz w:val="32"/>
          <w:szCs w:val="32"/>
          <w:highlight w:val="none"/>
          <w:lang w:val="en-US" w:eastAsia="zh-CN"/>
        </w:rPr>
        <w:t>，落实领取失业保险金人员参加职工基本医疗保险（含生育保险）费按规定由失业保险基金代缴政策。按照国家规定落实参保女职工生育津贴待遇。继续实施生育保险政策范围内住院分娩个人“无自付”政策，合理提升产前检查医疗费用保障水平。继续做好参保人员生育医疗费用直接结算和生育津贴按程序直接发放给参保人工作。提高辅助生殖技术基本医疗保险支付保障次数。推动医保支付方式改革延伸至生育医疗费用保障。</w:t>
      </w:r>
    </w:p>
    <w:p w14:paraId="5343D72A">
      <w:pPr>
        <w:pStyle w:val="5"/>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both"/>
        <w:textAlignment w:val="auto"/>
        <w:outlineLvl w:val="1"/>
        <w:rPr>
          <w:rFonts w:hint="default" w:ascii="宋体" w:hAnsi="宋体" w:eastAsia="楷体_GB2312" w:cs="Times New Roman"/>
          <w:b w:val="0"/>
          <w:bCs/>
          <w:color w:val="auto"/>
          <w:sz w:val="32"/>
          <w:szCs w:val="36"/>
          <w:highlight w:val="none"/>
          <w:lang w:val="en-US" w:eastAsia="zh-CN" w:bidi="ar"/>
        </w:rPr>
      </w:pPr>
      <w:bookmarkStart w:id="314" w:name="_Toc16492"/>
      <w:bookmarkStart w:id="315" w:name="_Toc12918"/>
      <w:bookmarkStart w:id="316" w:name="_Toc32306"/>
      <w:bookmarkStart w:id="317" w:name="_Toc1136"/>
      <w:bookmarkStart w:id="318" w:name="_Toc5448"/>
      <w:r>
        <w:rPr>
          <w:rFonts w:hint="default" w:ascii="宋体" w:hAnsi="宋体" w:eastAsia="楷体_GB2312" w:cs="Times New Roman"/>
          <w:b w:val="0"/>
          <w:bCs/>
          <w:color w:val="auto"/>
          <w:sz w:val="32"/>
          <w:szCs w:val="36"/>
          <w:highlight w:val="none"/>
          <w:lang w:val="en-US" w:eastAsia="zh-CN" w:bidi="ar"/>
        </w:rPr>
        <w:t>（</w:t>
      </w:r>
      <w:r>
        <w:rPr>
          <w:rFonts w:hint="eastAsia" w:ascii="宋体" w:hAnsi="宋体" w:eastAsia="楷体_GB2312" w:cs="Times New Roman"/>
          <w:b w:val="0"/>
          <w:bCs/>
          <w:color w:val="auto"/>
          <w:sz w:val="32"/>
          <w:szCs w:val="36"/>
          <w:highlight w:val="none"/>
          <w:lang w:val="en-US" w:eastAsia="zh-CN" w:bidi="ar"/>
        </w:rPr>
        <w:t>五</w:t>
      </w:r>
      <w:r>
        <w:rPr>
          <w:rFonts w:hint="default" w:ascii="宋体" w:hAnsi="宋体" w:eastAsia="楷体_GB2312" w:cs="Times New Roman"/>
          <w:b w:val="0"/>
          <w:bCs/>
          <w:color w:val="auto"/>
          <w:sz w:val="32"/>
          <w:szCs w:val="36"/>
          <w:highlight w:val="none"/>
          <w:lang w:val="en-US" w:eastAsia="zh-CN" w:bidi="ar"/>
        </w:rPr>
        <w:t>）支持</w:t>
      </w:r>
      <w:r>
        <w:rPr>
          <w:rFonts w:hint="default" w:ascii="宋体" w:hAnsi="宋体" w:eastAsia="楷体_GB2312" w:cs="Times New Roman"/>
          <w:b w:val="0"/>
          <w:bCs/>
          <w:color w:val="auto"/>
          <w:sz w:val="32"/>
          <w:szCs w:val="36"/>
          <w:highlight w:val="none"/>
          <w:lang w:eastAsia="zh-CN" w:bidi="ar"/>
        </w:rPr>
        <w:t>商业</w:t>
      </w:r>
      <w:r>
        <w:rPr>
          <w:rFonts w:hint="eastAsia" w:eastAsia="楷体_GB2312" w:cs="Times New Roman"/>
          <w:b w:val="0"/>
          <w:bCs/>
          <w:color w:val="auto"/>
          <w:sz w:val="32"/>
          <w:szCs w:val="36"/>
          <w:highlight w:val="none"/>
          <w:lang w:val="en-US" w:eastAsia="zh-CN" w:bidi="ar"/>
        </w:rPr>
        <w:t>医疗</w:t>
      </w:r>
      <w:r>
        <w:rPr>
          <w:rFonts w:hint="default" w:ascii="宋体" w:hAnsi="宋体" w:eastAsia="楷体_GB2312" w:cs="Times New Roman"/>
          <w:b w:val="0"/>
          <w:bCs/>
          <w:color w:val="auto"/>
          <w:sz w:val="32"/>
          <w:szCs w:val="36"/>
          <w:highlight w:val="none"/>
          <w:lang w:eastAsia="zh-CN" w:bidi="ar"/>
        </w:rPr>
        <w:t>保险、医疗互助</w:t>
      </w:r>
      <w:r>
        <w:rPr>
          <w:rFonts w:hint="eastAsia" w:ascii="宋体" w:hAnsi="宋体" w:eastAsia="楷体_GB2312" w:cs="Times New Roman"/>
          <w:b w:val="0"/>
          <w:bCs/>
          <w:color w:val="auto"/>
          <w:sz w:val="32"/>
          <w:szCs w:val="36"/>
          <w:highlight w:val="none"/>
          <w:lang w:val="en-US" w:eastAsia="zh-CN" w:bidi="ar"/>
        </w:rPr>
        <w:t>等规范发展</w:t>
      </w:r>
      <w:bookmarkEnd w:id="314"/>
      <w:bookmarkEnd w:id="315"/>
      <w:bookmarkEnd w:id="316"/>
      <w:bookmarkEnd w:id="317"/>
      <w:bookmarkEnd w:id="318"/>
    </w:p>
    <w:p w14:paraId="18A0133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支持商业医疗保险与基本医保有序衔接、功能互补、差异化发展，丰富产品供给。依法推进基本医保与商保数据共享和同步结算。落实国家商业健康保险创新药品目录。推进医疗互助与职工基本医保衔接协同，推动信息共享和同步结算。引导慈善等社会力量参与医疗救助，完善多元化医疗救助格局，进一步减轻困难群众和大病患者医疗费用负担。逐步规范企业补充医疗保险。</w:t>
      </w:r>
      <w:r>
        <w:rPr>
          <w:rFonts w:hint="eastAsia" w:ascii="仿宋_GB2312" w:hAnsi="仿宋_GB2312" w:eastAsia="仿宋_GB2312" w:cs="仿宋_GB2312"/>
          <w:color w:val="auto"/>
          <w:sz w:val="32"/>
          <w:szCs w:val="32"/>
          <w:highlight w:val="none"/>
          <w:lang w:val="en-US" w:eastAsia="zh-CN"/>
        </w:rPr>
        <w:commentReference w:id="1"/>
      </w:r>
      <w:r>
        <w:rPr>
          <w:rFonts w:hint="eastAsia" w:ascii="仿宋_GB2312" w:hAnsi="仿宋_GB2312" w:eastAsia="仿宋_GB2312" w:cs="仿宋_GB2312"/>
          <w:color w:val="auto"/>
          <w:sz w:val="32"/>
          <w:szCs w:val="32"/>
          <w:highlight w:val="none"/>
          <w:lang w:val="en-US" w:eastAsia="zh-CN"/>
        </w:rPr>
        <w:commentReference w:id="2"/>
      </w:r>
    </w:p>
    <w:p w14:paraId="1C9267A7">
      <w:pPr>
        <w:pStyle w:val="4"/>
        <w:keepNext w:val="0"/>
        <w:keepLines w:val="0"/>
        <w:pageBreakBefore w:val="0"/>
        <w:widowControl/>
        <w:kinsoku/>
        <w:wordWrap/>
        <w:overflowPunct/>
        <w:topLinePunct w:val="0"/>
        <w:autoSpaceDE/>
        <w:autoSpaceDN/>
        <w:bidi w:val="0"/>
        <w:adjustRightInd/>
        <w:snapToGrid/>
        <w:spacing w:beforeAutospacing="0" w:afterAutospacing="0" w:line="560" w:lineRule="exact"/>
        <w:ind w:firstLineChars="200"/>
        <w:jc w:val="both"/>
        <w:textAlignment w:val="auto"/>
        <w:outlineLvl w:val="0"/>
        <w:rPr>
          <w:rFonts w:hint="eastAsia" w:ascii="黑体" w:hAnsi="黑体" w:eastAsia="黑体" w:cs="黑体"/>
          <w:b w:val="0"/>
          <w:bCs w:val="0"/>
          <w:color w:val="auto"/>
          <w:kern w:val="44"/>
          <w:sz w:val="32"/>
          <w:szCs w:val="32"/>
          <w:highlight w:val="none"/>
          <w:lang w:val="en-US" w:eastAsia="zh-CN" w:bidi="ar"/>
        </w:rPr>
      </w:pPr>
      <w:bookmarkStart w:id="319" w:name="_Toc28352"/>
      <w:bookmarkStart w:id="320" w:name="_Toc28504"/>
      <w:bookmarkStart w:id="321" w:name="_Toc25720"/>
      <w:bookmarkStart w:id="322" w:name="_Toc5544"/>
      <w:bookmarkStart w:id="323" w:name="_Toc4118"/>
      <w:bookmarkStart w:id="324" w:name="_Toc10051"/>
      <w:r>
        <w:rPr>
          <w:rFonts w:hint="eastAsia" w:ascii="黑体" w:hAnsi="黑体" w:eastAsia="黑体" w:cs="黑体"/>
          <w:b w:val="0"/>
          <w:bCs w:val="0"/>
          <w:color w:val="auto"/>
          <w:sz w:val="32"/>
          <w:szCs w:val="32"/>
          <w:highlight w:val="none"/>
          <w:lang w:val="en-US" w:eastAsia="zh-CN"/>
        </w:rPr>
        <w:t>三</w:t>
      </w:r>
      <w:r>
        <w:rPr>
          <w:rFonts w:hint="eastAsia" w:ascii="黑体" w:hAnsi="黑体" w:eastAsia="黑体" w:cs="黑体"/>
          <w:b w:val="0"/>
          <w:bCs w:val="0"/>
          <w:color w:val="auto"/>
          <w:kern w:val="44"/>
          <w:sz w:val="32"/>
          <w:szCs w:val="32"/>
          <w:highlight w:val="none"/>
          <w:lang w:val="en-US" w:eastAsia="zh-CN" w:bidi="ar"/>
        </w:rPr>
        <w:t>、建立</w:t>
      </w:r>
      <w:r>
        <w:rPr>
          <w:rFonts w:hint="eastAsia" w:ascii="黑体" w:hAnsi="黑体" w:eastAsia="黑体" w:cs="黑体"/>
          <w:b w:val="0"/>
          <w:bCs w:val="0"/>
          <w:color w:val="auto"/>
          <w:kern w:val="44"/>
          <w:sz w:val="32"/>
          <w:szCs w:val="32"/>
          <w:highlight w:val="none"/>
          <w:lang w:bidi="ar"/>
        </w:rPr>
        <w:t>长期护理保险</w:t>
      </w:r>
      <w:r>
        <w:rPr>
          <w:rFonts w:hint="eastAsia" w:ascii="黑体" w:hAnsi="黑体" w:eastAsia="黑体" w:cs="黑体"/>
          <w:b w:val="0"/>
          <w:bCs w:val="0"/>
          <w:color w:val="auto"/>
          <w:kern w:val="44"/>
          <w:sz w:val="32"/>
          <w:szCs w:val="32"/>
          <w:highlight w:val="none"/>
          <w:lang w:val="en-US" w:eastAsia="zh-CN" w:bidi="ar"/>
        </w:rPr>
        <w:t>制度</w:t>
      </w:r>
      <w:bookmarkEnd w:id="319"/>
      <w:bookmarkEnd w:id="320"/>
      <w:bookmarkEnd w:id="321"/>
      <w:bookmarkEnd w:id="322"/>
      <w:bookmarkEnd w:id="323"/>
      <w:bookmarkEnd w:id="324"/>
    </w:p>
    <w:p w14:paraId="549A63FF">
      <w:pPr>
        <w:pStyle w:val="5"/>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both"/>
        <w:textAlignment w:val="auto"/>
        <w:outlineLvl w:val="1"/>
        <w:rPr>
          <w:rFonts w:hint="eastAsia" w:ascii="宋体" w:hAnsi="宋体" w:eastAsia="楷体_GB2312" w:cs="Times New Roman"/>
          <w:b w:val="0"/>
          <w:bCs/>
          <w:color w:val="auto"/>
          <w:sz w:val="32"/>
          <w:szCs w:val="36"/>
          <w:highlight w:val="none"/>
          <w:lang w:val="en-US" w:eastAsia="zh-CN" w:bidi="ar"/>
        </w:rPr>
      </w:pPr>
      <w:bookmarkStart w:id="325" w:name="_Toc13502"/>
      <w:bookmarkStart w:id="326" w:name="_Toc20670"/>
      <w:bookmarkStart w:id="327" w:name="_Toc24447"/>
      <w:bookmarkStart w:id="328" w:name="_Toc4425"/>
      <w:bookmarkStart w:id="329" w:name="_Toc3150"/>
      <w:bookmarkStart w:id="330" w:name="_Toc26844"/>
      <w:bookmarkStart w:id="331" w:name="_Toc16684"/>
      <w:bookmarkStart w:id="332" w:name="_Toc31877"/>
      <w:bookmarkStart w:id="333" w:name="_Toc27132"/>
      <w:bookmarkStart w:id="334" w:name="_Toc12190"/>
      <w:bookmarkStart w:id="335" w:name="_Toc152"/>
      <w:bookmarkStart w:id="336" w:name="_Toc24180"/>
      <w:bookmarkStart w:id="337" w:name="_Toc24401"/>
      <w:bookmarkStart w:id="338" w:name="_Toc9102"/>
      <w:bookmarkStart w:id="339" w:name="_Toc1589"/>
      <w:bookmarkStart w:id="340" w:name="_Toc13614"/>
      <w:bookmarkStart w:id="341" w:name="_Toc9221"/>
      <w:bookmarkStart w:id="342" w:name="_Toc23953"/>
      <w:bookmarkStart w:id="343" w:name="_Toc28757"/>
      <w:bookmarkStart w:id="344" w:name="_Toc17342"/>
      <w:bookmarkStart w:id="345" w:name="_Toc17295"/>
      <w:bookmarkStart w:id="346" w:name="_Toc17232"/>
      <w:bookmarkStart w:id="347" w:name="_Toc20236"/>
      <w:bookmarkStart w:id="348" w:name="_Toc22710"/>
      <w:bookmarkStart w:id="349" w:name="_Toc25320"/>
      <w:bookmarkStart w:id="350" w:name="_Toc8630"/>
      <w:bookmarkStart w:id="351" w:name="_Toc26857"/>
      <w:bookmarkStart w:id="352" w:name="_Toc3944"/>
      <w:bookmarkStart w:id="353" w:name="_Toc27732"/>
      <w:bookmarkStart w:id="354" w:name="_Toc24254"/>
      <w:bookmarkStart w:id="355" w:name="_Toc15464"/>
      <w:bookmarkStart w:id="356" w:name="_Toc13453"/>
      <w:bookmarkStart w:id="357" w:name="_Toc26264"/>
      <w:bookmarkStart w:id="358" w:name="_Toc26738"/>
      <w:bookmarkStart w:id="359" w:name="_Toc31201"/>
      <w:bookmarkStart w:id="360" w:name="_Toc7738"/>
      <w:bookmarkStart w:id="361" w:name="_Toc20876"/>
      <w:bookmarkStart w:id="362" w:name="_Toc23368"/>
      <w:bookmarkStart w:id="363" w:name="_Toc29186"/>
      <w:bookmarkStart w:id="364" w:name="_Toc6016"/>
      <w:bookmarkStart w:id="365" w:name="_Toc5530"/>
      <w:bookmarkStart w:id="366" w:name="_Toc16539"/>
      <w:bookmarkStart w:id="367" w:name="_Toc12184"/>
      <w:bookmarkStart w:id="368" w:name="_Toc2400"/>
      <w:bookmarkStart w:id="369" w:name="_Toc12715"/>
      <w:bookmarkStart w:id="370" w:name="_Toc11120"/>
      <w:bookmarkStart w:id="371" w:name="_Toc30187"/>
      <w:bookmarkStart w:id="372" w:name="_Toc18671"/>
      <w:bookmarkStart w:id="373" w:name="_Toc21284"/>
      <w:bookmarkStart w:id="374" w:name="_Toc25638"/>
      <w:bookmarkStart w:id="375" w:name="_Toc1575"/>
      <w:bookmarkStart w:id="376" w:name="_Toc24139"/>
      <w:bookmarkStart w:id="377" w:name="_Toc815"/>
      <w:bookmarkStart w:id="378" w:name="_Toc11170"/>
      <w:bookmarkStart w:id="379" w:name="_Toc2591"/>
      <w:bookmarkStart w:id="380" w:name="_Toc1255"/>
      <w:bookmarkStart w:id="381" w:name="_Toc22783"/>
      <w:bookmarkStart w:id="382" w:name="_Toc9108"/>
      <w:bookmarkStart w:id="383" w:name="_Toc31104"/>
      <w:bookmarkStart w:id="384" w:name="_Toc30530"/>
      <w:bookmarkStart w:id="385" w:name="_Toc27204"/>
      <w:bookmarkStart w:id="386" w:name="_Toc25022"/>
      <w:bookmarkStart w:id="387" w:name="_Toc25347"/>
      <w:bookmarkStart w:id="388" w:name="_Toc23811"/>
      <w:bookmarkStart w:id="389" w:name="_Toc9013"/>
      <w:r>
        <w:rPr>
          <w:rFonts w:hint="eastAsia" w:ascii="宋体" w:hAnsi="宋体" w:eastAsia="楷体_GB2312" w:cs="Times New Roman"/>
          <w:b w:val="0"/>
          <w:bCs/>
          <w:color w:val="auto"/>
          <w:sz w:val="32"/>
          <w:szCs w:val="36"/>
          <w:highlight w:val="none"/>
          <w:lang w:eastAsia="zh-CN" w:bidi="ar"/>
        </w:rPr>
        <w:t>（</w:t>
      </w:r>
      <w:r>
        <w:rPr>
          <w:rFonts w:hint="eastAsia" w:ascii="宋体" w:hAnsi="宋体" w:eastAsia="楷体_GB2312" w:cs="Times New Roman"/>
          <w:b w:val="0"/>
          <w:bCs/>
          <w:color w:val="auto"/>
          <w:sz w:val="32"/>
          <w:szCs w:val="36"/>
          <w:highlight w:val="none"/>
          <w:lang w:val="en-US" w:eastAsia="zh-CN" w:bidi="ar"/>
        </w:rPr>
        <w:t>六</w:t>
      </w:r>
      <w:r>
        <w:rPr>
          <w:rFonts w:hint="eastAsia" w:ascii="宋体" w:hAnsi="宋体" w:eastAsia="楷体_GB2312" w:cs="Times New Roman"/>
          <w:b w:val="0"/>
          <w:bCs/>
          <w:color w:val="auto"/>
          <w:sz w:val="32"/>
          <w:szCs w:val="36"/>
          <w:highlight w:val="none"/>
          <w:lang w:eastAsia="zh-CN" w:bidi="ar"/>
        </w:rPr>
        <w:t>）</w:t>
      </w:r>
      <w:r>
        <w:rPr>
          <w:rFonts w:hint="eastAsia" w:ascii="宋体" w:hAnsi="宋体" w:eastAsia="楷体_GB2312" w:cs="Times New Roman"/>
          <w:b w:val="0"/>
          <w:bCs/>
          <w:color w:val="auto"/>
          <w:sz w:val="32"/>
          <w:szCs w:val="36"/>
          <w:highlight w:val="none"/>
          <w:lang w:val="en-US" w:eastAsia="zh-CN" w:bidi="ar"/>
        </w:rPr>
        <w:t>构建</w:t>
      </w:r>
      <w:r>
        <w:rPr>
          <w:rFonts w:hint="eastAsia" w:ascii="宋体" w:hAnsi="宋体" w:eastAsia="楷体_GB2312" w:cs="Times New Roman"/>
          <w:b w:val="0"/>
          <w:bCs/>
          <w:color w:val="auto"/>
          <w:sz w:val="32"/>
          <w:szCs w:val="36"/>
          <w:highlight w:val="none"/>
          <w:lang w:eastAsia="zh-CN" w:bidi="ar"/>
        </w:rPr>
        <w:t>长期护理保险制度</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r>
        <w:rPr>
          <w:rFonts w:hint="eastAsia" w:ascii="宋体" w:hAnsi="宋体" w:eastAsia="楷体_GB2312" w:cs="Times New Roman"/>
          <w:b w:val="0"/>
          <w:bCs/>
          <w:color w:val="auto"/>
          <w:sz w:val="32"/>
          <w:szCs w:val="36"/>
          <w:highlight w:val="none"/>
          <w:lang w:val="en-US" w:eastAsia="zh-CN" w:bidi="ar"/>
        </w:rPr>
        <w:t>体系</w:t>
      </w:r>
      <w:bookmarkEnd w:id="384"/>
      <w:bookmarkEnd w:id="385"/>
      <w:bookmarkEnd w:id="386"/>
      <w:bookmarkEnd w:id="387"/>
      <w:bookmarkEnd w:id="388"/>
      <w:bookmarkEnd w:id="389"/>
    </w:p>
    <w:p w14:paraId="20485E6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color w:val="auto"/>
          <w:sz w:val="32"/>
          <w:szCs w:val="32"/>
          <w:highlight w:val="none"/>
          <w:lang w:val="en-US" w:eastAsia="zh-CN"/>
        </w:rPr>
      </w:pPr>
      <w:r>
        <w:rPr>
          <w:rFonts w:hint="default" w:ascii="仿宋_GB2312" w:hAnsi="仿宋_GB2312" w:eastAsia="仿宋_GB2312" w:cs="仿宋_GB2312"/>
          <w:color w:val="auto"/>
          <w:sz w:val="32"/>
          <w:szCs w:val="32"/>
          <w:highlight w:val="none"/>
          <w:lang w:val="en-US" w:eastAsia="zh-CN"/>
        </w:rPr>
        <w:t>积极稳妥扩大长期护理保险覆盖范围。确立统筹城乡的制度框架，基金统一建账，资金统筹使用。在市级统筹基础上适时推进省级统筹。建立健全互助共济、责任共担的多元筹资机制，合理确定单位、个人、政府、社会等各方筹资责任</w:t>
      </w:r>
      <w:r>
        <w:rPr>
          <w:rFonts w:hint="eastAsia" w:ascii="仿宋_GB2312" w:hAnsi="仿宋_GB2312" w:eastAsia="仿宋_GB2312" w:cs="仿宋_GB2312"/>
          <w:color w:val="auto"/>
          <w:sz w:val="32"/>
          <w:szCs w:val="32"/>
          <w:highlight w:val="none"/>
          <w:lang w:val="en-US" w:eastAsia="zh-CN"/>
        </w:rPr>
        <w:t>，筹资实行动态调整</w:t>
      </w:r>
      <w:r>
        <w:rPr>
          <w:rFonts w:hint="default" w:ascii="仿宋_GB2312" w:hAnsi="仿宋_GB2312" w:eastAsia="仿宋_GB2312" w:cs="仿宋_GB2312"/>
          <w:color w:val="auto"/>
          <w:sz w:val="32"/>
          <w:szCs w:val="32"/>
          <w:highlight w:val="none"/>
          <w:lang w:val="en-US" w:eastAsia="zh-CN"/>
        </w:rPr>
        <w:t>。按照国家统一要求合理确定保障对象范围，落实</w:t>
      </w:r>
      <w:r>
        <w:rPr>
          <w:rFonts w:hint="eastAsia" w:ascii="仿宋_GB2312" w:hAnsi="仿宋_GB2312" w:eastAsia="仿宋_GB2312" w:cs="仿宋_GB2312"/>
          <w:color w:val="auto"/>
          <w:sz w:val="32"/>
          <w:szCs w:val="32"/>
          <w:highlight w:val="none"/>
          <w:lang w:val="en-US" w:eastAsia="zh-CN"/>
        </w:rPr>
        <w:t>服务</w:t>
      </w:r>
      <w:r>
        <w:rPr>
          <w:rFonts w:hint="default" w:ascii="仿宋_GB2312" w:hAnsi="仿宋_GB2312" w:eastAsia="仿宋_GB2312" w:cs="仿宋_GB2312"/>
          <w:color w:val="auto"/>
          <w:sz w:val="32"/>
          <w:szCs w:val="32"/>
          <w:highlight w:val="none"/>
          <w:lang w:val="en-US" w:eastAsia="zh-CN"/>
        </w:rPr>
        <w:t>项目目录。结合地方实际科学设定待遇标准，规范待遇享受。推动建立长期护理保险参保激励约束机制。鼓励发展商业长期护理保险，发挥救助、慈善等社会力量，</w:t>
      </w:r>
      <w:r>
        <w:rPr>
          <w:rFonts w:hint="eastAsia" w:ascii="仿宋_GB2312" w:hAnsi="仿宋_GB2312" w:eastAsia="仿宋_GB2312" w:cs="仿宋_GB2312"/>
          <w:color w:val="auto"/>
          <w:sz w:val="32"/>
          <w:szCs w:val="32"/>
          <w:highlight w:val="none"/>
          <w:lang w:val="en-US" w:eastAsia="zh-CN"/>
        </w:rPr>
        <w:t>建设</w:t>
      </w:r>
      <w:r>
        <w:rPr>
          <w:rFonts w:hint="default" w:ascii="仿宋_GB2312" w:hAnsi="仿宋_GB2312" w:eastAsia="仿宋_GB2312" w:cs="仿宋_GB2312"/>
          <w:color w:val="auto"/>
          <w:sz w:val="32"/>
          <w:szCs w:val="32"/>
          <w:highlight w:val="none"/>
          <w:lang w:val="en-US" w:eastAsia="zh-CN"/>
        </w:rPr>
        <w:t>多层次长期护理保</w:t>
      </w:r>
      <w:r>
        <w:rPr>
          <w:rFonts w:hint="eastAsia" w:ascii="仿宋_GB2312" w:hAnsi="仿宋_GB2312" w:eastAsia="仿宋_GB2312" w:cs="仿宋_GB2312"/>
          <w:color w:val="auto"/>
          <w:sz w:val="32"/>
          <w:szCs w:val="32"/>
          <w:highlight w:val="none"/>
          <w:lang w:val="en-US" w:eastAsia="zh-CN"/>
        </w:rPr>
        <w:t>障</w:t>
      </w:r>
      <w:r>
        <w:rPr>
          <w:rFonts w:hint="default" w:ascii="仿宋_GB2312" w:hAnsi="仿宋_GB2312" w:eastAsia="仿宋_GB2312" w:cs="仿宋_GB2312"/>
          <w:color w:val="auto"/>
          <w:sz w:val="32"/>
          <w:szCs w:val="32"/>
          <w:highlight w:val="none"/>
          <w:lang w:val="en-US" w:eastAsia="zh-CN"/>
        </w:rPr>
        <w:t>体系。</w:t>
      </w:r>
    </w:p>
    <w:p w14:paraId="501932D8">
      <w:pPr>
        <w:pStyle w:val="5"/>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both"/>
        <w:textAlignment w:val="auto"/>
        <w:outlineLvl w:val="1"/>
        <w:rPr>
          <w:rFonts w:hint="eastAsia" w:ascii="宋体" w:hAnsi="宋体" w:eastAsia="楷体_GB2312" w:cs="Times New Roman"/>
          <w:b w:val="0"/>
          <w:bCs/>
          <w:color w:val="auto"/>
          <w:sz w:val="32"/>
          <w:szCs w:val="36"/>
          <w:highlight w:val="none"/>
          <w:lang w:eastAsia="zh-CN" w:bidi="ar"/>
        </w:rPr>
      </w:pPr>
      <w:bookmarkStart w:id="390" w:name="_Toc4978"/>
      <w:bookmarkStart w:id="391" w:name="_Toc4767"/>
      <w:bookmarkStart w:id="392" w:name="_Toc25825"/>
      <w:bookmarkStart w:id="393" w:name="_Toc12231"/>
      <w:bookmarkStart w:id="394" w:name="_Toc25970"/>
      <w:bookmarkStart w:id="395" w:name="_Toc5940"/>
      <w:bookmarkStart w:id="396" w:name="_Toc12625"/>
      <w:bookmarkStart w:id="397" w:name="_Toc16412"/>
      <w:bookmarkStart w:id="398" w:name="_Toc19332"/>
      <w:bookmarkStart w:id="399" w:name="_Toc7187"/>
      <w:bookmarkStart w:id="400" w:name="_Toc19192"/>
      <w:bookmarkStart w:id="401" w:name="_Toc30036"/>
      <w:bookmarkStart w:id="402" w:name="_Toc32608"/>
      <w:bookmarkStart w:id="403" w:name="_Toc15126"/>
      <w:bookmarkStart w:id="404" w:name="_Toc3401"/>
      <w:bookmarkStart w:id="405" w:name="_Toc2282"/>
      <w:bookmarkStart w:id="406" w:name="_Toc8173"/>
      <w:bookmarkStart w:id="407" w:name="_Toc25809"/>
      <w:bookmarkStart w:id="408" w:name="_Toc27301"/>
      <w:bookmarkStart w:id="409" w:name="_Toc16503"/>
      <w:bookmarkStart w:id="410" w:name="_Toc25444"/>
      <w:bookmarkStart w:id="411" w:name="_Toc13433"/>
      <w:bookmarkStart w:id="412" w:name="_Toc21781"/>
      <w:bookmarkStart w:id="413" w:name="_Toc3760"/>
      <w:bookmarkStart w:id="414" w:name="_Toc24463"/>
      <w:bookmarkStart w:id="415" w:name="_Toc28261"/>
      <w:bookmarkStart w:id="416" w:name="_Toc3117"/>
      <w:bookmarkStart w:id="417" w:name="_Toc11500"/>
      <w:bookmarkStart w:id="418" w:name="_Toc28439"/>
      <w:bookmarkStart w:id="419" w:name="_Toc14932"/>
      <w:bookmarkStart w:id="420" w:name="_Toc14795"/>
      <w:bookmarkStart w:id="421" w:name="_Toc7800"/>
      <w:bookmarkStart w:id="422" w:name="_Toc23738"/>
      <w:bookmarkStart w:id="423" w:name="_Toc28084"/>
      <w:bookmarkStart w:id="424" w:name="_Toc31412"/>
      <w:bookmarkStart w:id="425" w:name="_Toc23794"/>
      <w:bookmarkStart w:id="426" w:name="_Toc27454"/>
      <w:bookmarkStart w:id="427" w:name="_Toc2604"/>
      <w:bookmarkStart w:id="428" w:name="_Toc8773"/>
      <w:bookmarkStart w:id="429" w:name="_Toc23399"/>
      <w:bookmarkStart w:id="430" w:name="_Toc12405"/>
      <w:bookmarkStart w:id="431" w:name="_Toc17701"/>
      <w:bookmarkStart w:id="432" w:name="_Toc29019"/>
      <w:bookmarkStart w:id="433" w:name="_Toc15418"/>
      <w:bookmarkStart w:id="434" w:name="_Toc2428"/>
      <w:bookmarkStart w:id="435" w:name="_Toc15203"/>
      <w:bookmarkStart w:id="436" w:name="_Toc13592"/>
      <w:bookmarkStart w:id="437" w:name="_Toc31644"/>
      <w:bookmarkStart w:id="438" w:name="_Toc1184"/>
      <w:bookmarkStart w:id="439" w:name="_Toc30226"/>
      <w:bookmarkStart w:id="440" w:name="_Toc21171"/>
      <w:bookmarkStart w:id="441" w:name="_Toc18313"/>
      <w:bookmarkStart w:id="442" w:name="_Toc5141"/>
      <w:bookmarkStart w:id="443" w:name="_Toc5196"/>
      <w:bookmarkStart w:id="444" w:name="_Toc2852"/>
      <w:bookmarkStart w:id="445" w:name="_Toc22805"/>
      <w:bookmarkStart w:id="446" w:name="_Toc18391"/>
      <w:bookmarkStart w:id="447" w:name="_Toc549"/>
      <w:bookmarkStart w:id="448" w:name="_Toc24764"/>
      <w:bookmarkStart w:id="449" w:name="_Toc23710"/>
      <w:bookmarkStart w:id="450" w:name="_Toc13042"/>
      <w:bookmarkStart w:id="451" w:name="_Toc951"/>
      <w:bookmarkStart w:id="452" w:name="_Toc4774"/>
      <w:bookmarkStart w:id="453" w:name="_Toc91"/>
      <w:bookmarkStart w:id="454" w:name="_Toc26670"/>
      <w:r>
        <w:rPr>
          <w:rFonts w:hint="eastAsia" w:ascii="宋体" w:hAnsi="宋体" w:eastAsia="楷体_GB2312" w:cs="Times New Roman"/>
          <w:b w:val="0"/>
          <w:bCs/>
          <w:color w:val="auto"/>
          <w:sz w:val="32"/>
          <w:szCs w:val="36"/>
          <w:highlight w:val="none"/>
          <w:lang w:val="en-US" w:eastAsia="zh-CN" w:bidi="ar"/>
        </w:rPr>
        <w:t>（七）</w:t>
      </w:r>
      <w:r>
        <w:rPr>
          <w:rFonts w:hint="eastAsia" w:eastAsia="楷体_GB2312" w:cs="Times New Roman"/>
          <w:b w:val="0"/>
          <w:bCs/>
          <w:color w:val="auto"/>
          <w:sz w:val="32"/>
          <w:szCs w:val="36"/>
          <w:highlight w:val="none"/>
          <w:lang w:val="en-US" w:eastAsia="zh-CN" w:bidi="ar"/>
        </w:rPr>
        <w:t>健全</w:t>
      </w:r>
      <w:r>
        <w:rPr>
          <w:rFonts w:hint="eastAsia" w:ascii="宋体" w:hAnsi="宋体" w:eastAsia="楷体_GB2312" w:cs="Times New Roman"/>
          <w:b w:val="0"/>
          <w:bCs/>
          <w:color w:val="auto"/>
          <w:sz w:val="32"/>
          <w:szCs w:val="36"/>
          <w:highlight w:val="none"/>
          <w:lang w:val="en-US" w:eastAsia="zh-CN" w:bidi="ar"/>
        </w:rPr>
        <w:t>长期护理保险服务</w:t>
      </w:r>
      <w:r>
        <w:rPr>
          <w:rFonts w:hint="eastAsia" w:ascii="宋体" w:hAnsi="宋体" w:eastAsia="楷体_GB2312" w:cs="Times New Roman"/>
          <w:b w:val="0"/>
          <w:bCs/>
          <w:color w:val="auto"/>
          <w:sz w:val="32"/>
          <w:szCs w:val="36"/>
          <w:highlight w:val="none"/>
          <w:lang w:eastAsia="zh-CN" w:bidi="ar"/>
        </w:rPr>
        <w:t>体系</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p>
    <w:p w14:paraId="2629F19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default" w:ascii="仿宋_GB2312" w:hAnsi="仿宋_GB2312" w:eastAsia="仿宋_GB2312" w:cs="仿宋_GB2312"/>
          <w:color w:val="auto"/>
          <w:sz w:val="32"/>
          <w:szCs w:val="32"/>
          <w:highlight w:val="none"/>
          <w:lang w:val="en-US" w:eastAsia="zh-CN"/>
        </w:rPr>
        <w:t>实施</w:t>
      </w:r>
      <w:r>
        <w:rPr>
          <w:rFonts w:hint="eastAsia" w:ascii="仿宋_GB2312" w:hAnsi="仿宋_GB2312" w:eastAsia="仿宋_GB2312" w:cs="仿宋_GB2312"/>
          <w:color w:val="auto"/>
          <w:sz w:val="32"/>
          <w:szCs w:val="32"/>
          <w:highlight w:val="none"/>
          <w:lang w:val="en-US" w:eastAsia="zh-CN"/>
        </w:rPr>
        <w:t>全国</w:t>
      </w:r>
      <w:r>
        <w:rPr>
          <w:rFonts w:hint="default" w:ascii="仿宋_GB2312" w:hAnsi="仿宋_GB2312" w:eastAsia="仿宋_GB2312" w:cs="仿宋_GB2312"/>
          <w:color w:val="auto"/>
          <w:sz w:val="32"/>
          <w:szCs w:val="32"/>
          <w:highlight w:val="none"/>
          <w:lang w:val="en-US" w:eastAsia="zh-CN"/>
        </w:rPr>
        <w:t>统一</w:t>
      </w:r>
      <w:r>
        <w:rPr>
          <w:rFonts w:hint="eastAsia" w:ascii="仿宋_GB2312" w:hAnsi="仿宋_GB2312" w:eastAsia="仿宋_GB2312" w:cs="仿宋_GB2312"/>
          <w:color w:val="auto"/>
          <w:sz w:val="32"/>
          <w:szCs w:val="32"/>
          <w:highlight w:val="none"/>
          <w:lang w:val="en-US" w:eastAsia="zh-CN"/>
        </w:rPr>
        <w:t>的</w:t>
      </w:r>
      <w:r>
        <w:rPr>
          <w:rFonts w:hint="default" w:ascii="仿宋_GB2312" w:hAnsi="仿宋_GB2312" w:eastAsia="仿宋_GB2312" w:cs="仿宋_GB2312"/>
          <w:color w:val="auto"/>
          <w:sz w:val="32"/>
          <w:szCs w:val="32"/>
          <w:highlight w:val="none"/>
          <w:lang w:val="en-US" w:eastAsia="zh-CN"/>
        </w:rPr>
        <w:t>失能等级评估标准</w:t>
      </w:r>
      <w:r>
        <w:rPr>
          <w:rFonts w:hint="eastAsia" w:ascii="仿宋_GB2312" w:hAnsi="仿宋_GB2312" w:eastAsia="仿宋_GB2312" w:cs="仿宋_GB2312"/>
          <w:color w:val="auto"/>
          <w:sz w:val="32"/>
          <w:szCs w:val="32"/>
          <w:highlight w:val="none"/>
          <w:lang w:val="en-US" w:eastAsia="zh-CN"/>
        </w:rPr>
        <w:t>和</w:t>
      </w:r>
      <w:r>
        <w:rPr>
          <w:rFonts w:hint="default" w:ascii="仿宋_GB2312" w:hAnsi="仿宋_GB2312" w:eastAsia="仿宋_GB2312" w:cs="仿宋_GB2312"/>
          <w:color w:val="auto"/>
          <w:sz w:val="32"/>
          <w:szCs w:val="32"/>
          <w:highlight w:val="none"/>
          <w:lang w:val="en-US" w:eastAsia="zh-CN"/>
        </w:rPr>
        <w:t>管理办法</w:t>
      </w:r>
      <w:r>
        <w:rPr>
          <w:rFonts w:hint="eastAsia" w:ascii="仿宋_GB2312" w:hAnsi="仿宋_GB2312" w:eastAsia="仿宋_GB2312" w:cs="仿宋_GB2312"/>
          <w:color w:val="auto"/>
          <w:sz w:val="32"/>
          <w:szCs w:val="32"/>
          <w:highlight w:val="none"/>
          <w:lang w:val="en-US" w:eastAsia="zh-CN"/>
        </w:rPr>
        <w:t>，推动评估结果省内互认</w:t>
      </w:r>
      <w:r>
        <w:rPr>
          <w:rFonts w:hint="default" w:ascii="仿宋_GB2312" w:hAnsi="仿宋_GB2312" w:eastAsia="仿宋_GB2312" w:cs="仿宋_GB2312"/>
          <w:color w:val="auto"/>
          <w:sz w:val="32"/>
          <w:szCs w:val="32"/>
          <w:highlight w:val="none"/>
          <w:lang w:val="en-US" w:eastAsia="zh-CN"/>
        </w:rPr>
        <w:t>。支持专业独立的社会化评估机构发展。加强失能等级评估人员规范化培训</w:t>
      </w:r>
      <w:r>
        <w:rPr>
          <w:rFonts w:hint="eastAsia" w:ascii="仿宋_GB2312" w:hAnsi="仿宋_GB2312" w:eastAsia="仿宋_GB2312" w:cs="仿宋_GB2312"/>
          <w:color w:val="auto"/>
          <w:sz w:val="32"/>
          <w:szCs w:val="32"/>
          <w:highlight w:val="none"/>
          <w:lang w:val="en-US" w:eastAsia="zh-CN"/>
        </w:rPr>
        <w:t>。</w:t>
      </w:r>
      <w:r>
        <w:rPr>
          <w:rFonts w:hint="default" w:ascii="仿宋_GB2312" w:hAnsi="仿宋_GB2312" w:eastAsia="仿宋_GB2312" w:cs="仿宋_GB2312"/>
          <w:color w:val="auto"/>
          <w:sz w:val="32"/>
          <w:szCs w:val="32"/>
          <w:highlight w:val="none"/>
          <w:lang w:val="en-US" w:eastAsia="zh-CN"/>
        </w:rPr>
        <w:t>探索发挥家庭医生在失能等级评估中的作用。执行国家统一的</w:t>
      </w:r>
      <w:r>
        <w:rPr>
          <w:rFonts w:hint="eastAsia" w:ascii="仿宋_GB2312" w:hAnsi="仿宋_GB2312" w:eastAsia="仿宋_GB2312" w:cs="仿宋_GB2312"/>
          <w:color w:val="auto"/>
          <w:sz w:val="32"/>
          <w:szCs w:val="32"/>
          <w:highlight w:val="none"/>
          <w:lang w:val="en-US" w:eastAsia="zh-CN"/>
        </w:rPr>
        <w:t>长期护理保险服务</w:t>
      </w:r>
      <w:r>
        <w:rPr>
          <w:rFonts w:hint="default" w:ascii="仿宋_GB2312" w:hAnsi="仿宋_GB2312" w:eastAsia="仿宋_GB2312" w:cs="仿宋_GB2312"/>
          <w:color w:val="auto"/>
          <w:sz w:val="32"/>
          <w:szCs w:val="32"/>
          <w:highlight w:val="none"/>
          <w:lang w:val="en-US" w:eastAsia="zh-CN"/>
        </w:rPr>
        <w:t>项目目录，建立适应长期护理保险服务模式的支付方式。健全护理服务网络，鼓励</w:t>
      </w:r>
      <w:r>
        <w:rPr>
          <w:rFonts w:hint="eastAsia" w:ascii="仿宋_GB2312" w:hAnsi="仿宋_GB2312" w:eastAsia="仿宋_GB2312" w:cs="仿宋_GB2312"/>
          <w:color w:val="auto"/>
          <w:sz w:val="32"/>
          <w:szCs w:val="32"/>
          <w:highlight w:val="none"/>
          <w:lang w:val="en-US" w:eastAsia="zh-CN"/>
        </w:rPr>
        <w:t>符合条件的</w:t>
      </w:r>
      <w:r>
        <w:rPr>
          <w:rFonts w:hint="default" w:ascii="仿宋_GB2312" w:hAnsi="仿宋_GB2312" w:eastAsia="仿宋_GB2312" w:cs="仿宋_GB2312"/>
          <w:color w:val="auto"/>
          <w:sz w:val="32"/>
          <w:szCs w:val="32"/>
          <w:highlight w:val="none"/>
          <w:lang w:val="en-US" w:eastAsia="zh-CN"/>
        </w:rPr>
        <w:t>基层医疗机构、</w:t>
      </w:r>
      <w:r>
        <w:rPr>
          <w:rFonts w:hint="eastAsia" w:ascii="仿宋_GB2312" w:hAnsi="仿宋_GB2312" w:eastAsia="仿宋_GB2312" w:cs="仿宋_GB2312"/>
          <w:color w:val="auto"/>
          <w:sz w:val="32"/>
          <w:szCs w:val="32"/>
          <w:highlight w:val="none"/>
          <w:lang w:val="en-US" w:eastAsia="zh-CN"/>
        </w:rPr>
        <w:t>养老服务</w:t>
      </w:r>
      <w:r>
        <w:rPr>
          <w:rFonts w:hint="default" w:ascii="仿宋_GB2312" w:hAnsi="仿宋_GB2312" w:eastAsia="仿宋_GB2312" w:cs="仿宋_GB2312"/>
          <w:color w:val="auto"/>
          <w:sz w:val="32"/>
          <w:szCs w:val="32"/>
          <w:highlight w:val="none"/>
          <w:lang w:val="en-US" w:eastAsia="zh-CN"/>
        </w:rPr>
        <w:t>机构提供长期护理服务</w:t>
      </w:r>
      <w:r>
        <w:rPr>
          <w:rFonts w:hint="eastAsia" w:ascii="仿宋_GB2312" w:hAnsi="仿宋_GB2312" w:eastAsia="仿宋_GB2312" w:cs="仿宋_GB2312"/>
          <w:color w:val="auto"/>
          <w:sz w:val="32"/>
          <w:szCs w:val="32"/>
          <w:highlight w:val="none"/>
          <w:lang w:val="en-US" w:eastAsia="zh-CN"/>
        </w:rPr>
        <w:t>。促进长期护理服务人员队伍建设，建立长期照护师培训培养机制</w:t>
      </w:r>
      <w:r>
        <w:rPr>
          <w:rFonts w:hint="default"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lang w:val="en-US" w:eastAsia="zh-CN"/>
        </w:rPr>
        <w:t>加强长期护理保险基金监管。</w:t>
      </w:r>
    </w:p>
    <w:p w14:paraId="3D93C33E">
      <w:pPr>
        <w:pStyle w:val="5"/>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both"/>
        <w:textAlignment w:val="auto"/>
        <w:outlineLvl w:val="1"/>
        <w:rPr>
          <w:rFonts w:hint="eastAsia" w:ascii="宋体" w:hAnsi="宋体" w:eastAsia="楷体_GB2312" w:cs="Times New Roman"/>
          <w:b w:val="0"/>
          <w:bCs/>
          <w:color w:val="auto"/>
          <w:sz w:val="32"/>
          <w:szCs w:val="36"/>
          <w:highlight w:val="none"/>
          <w:lang w:eastAsia="zh-CN" w:bidi="ar"/>
        </w:rPr>
      </w:pPr>
      <w:bookmarkStart w:id="455" w:name="_Toc11059"/>
      <w:bookmarkStart w:id="456" w:name="_Toc8906"/>
      <w:bookmarkStart w:id="457" w:name="_Toc7989"/>
      <w:bookmarkStart w:id="458" w:name="_Toc15134"/>
      <w:bookmarkStart w:id="459" w:name="_Toc21752"/>
      <w:bookmarkStart w:id="460" w:name="_Toc27146"/>
      <w:bookmarkStart w:id="461" w:name="_Toc32126"/>
      <w:bookmarkStart w:id="462" w:name="_Toc2488"/>
      <w:bookmarkStart w:id="463" w:name="_Toc32579"/>
      <w:bookmarkStart w:id="464" w:name="_Toc22118"/>
      <w:bookmarkStart w:id="465" w:name="_Toc4832"/>
      <w:bookmarkStart w:id="466" w:name="_Toc21266"/>
      <w:bookmarkStart w:id="467" w:name="_Toc8766"/>
      <w:bookmarkStart w:id="468" w:name="_Toc16686"/>
      <w:bookmarkStart w:id="469" w:name="_Toc13460"/>
      <w:bookmarkStart w:id="470" w:name="_Toc17076"/>
      <w:bookmarkStart w:id="471" w:name="_Toc7222"/>
      <w:bookmarkStart w:id="472" w:name="_Toc7002"/>
      <w:bookmarkStart w:id="473" w:name="_Toc27803"/>
      <w:bookmarkStart w:id="474" w:name="_Toc23130"/>
      <w:bookmarkStart w:id="475" w:name="_Toc21640"/>
      <w:bookmarkStart w:id="476" w:name="_Toc6968"/>
      <w:bookmarkStart w:id="477" w:name="_Toc25178"/>
      <w:bookmarkStart w:id="478" w:name="_Toc22210"/>
      <w:bookmarkStart w:id="479" w:name="_Toc12782"/>
      <w:bookmarkStart w:id="480" w:name="_Toc18258"/>
      <w:bookmarkStart w:id="481" w:name="_Toc10607"/>
      <w:bookmarkStart w:id="482" w:name="_Toc25331"/>
      <w:bookmarkStart w:id="483" w:name="_Toc12140"/>
      <w:bookmarkStart w:id="484" w:name="_Toc5578"/>
      <w:bookmarkStart w:id="485" w:name="_Toc27126"/>
      <w:bookmarkStart w:id="486" w:name="_Toc5026"/>
      <w:bookmarkStart w:id="487" w:name="_Toc26593"/>
      <w:bookmarkStart w:id="488" w:name="_Toc14411"/>
      <w:bookmarkStart w:id="489" w:name="_Toc10376"/>
      <w:bookmarkStart w:id="490" w:name="_Toc8543"/>
      <w:bookmarkStart w:id="491" w:name="_Toc15879"/>
      <w:bookmarkStart w:id="492" w:name="_Toc25260"/>
      <w:bookmarkStart w:id="493" w:name="_Toc7798"/>
      <w:bookmarkStart w:id="494" w:name="_Toc12925"/>
      <w:bookmarkStart w:id="495" w:name="_Toc12253"/>
      <w:bookmarkStart w:id="496" w:name="_Toc31985"/>
      <w:bookmarkStart w:id="497" w:name="_Toc28315"/>
      <w:bookmarkStart w:id="498" w:name="_Toc12105"/>
      <w:bookmarkStart w:id="499" w:name="_Toc28049"/>
      <w:bookmarkStart w:id="500" w:name="_Toc25029"/>
      <w:bookmarkStart w:id="501" w:name="_Toc31585"/>
      <w:bookmarkStart w:id="502" w:name="_Toc5543"/>
      <w:bookmarkStart w:id="503" w:name="_Toc2159"/>
      <w:bookmarkStart w:id="504" w:name="_Toc29189"/>
      <w:bookmarkStart w:id="505" w:name="_Toc21919"/>
      <w:bookmarkStart w:id="506" w:name="_Toc22669"/>
      <w:bookmarkStart w:id="507" w:name="_Toc13856"/>
      <w:bookmarkStart w:id="508" w:name="_Toc6206"/>
      <w:bookmarkStart w:id="509" w:name="_Toc3614"/>
      <w:bookmarkStart w:id="510" w:name="_Toc18820"/>
      <w:bookmarkStart w:id="511" w:name="_Toc11133"/>
      <w:bookmarkStart w:id="512" w:name="_Toc15076"/>
      <w:bookmarkStart w:id="513" w:name="_Toc14311"/>
      <w:bookmarkStart w:id="514" w:name="_Toc11850"/>
      <w:bookmarkStart w:id="515" w:name="_Toc8130"/>
      <w:bookmarkStart w:id="516" w:name="_Toc7745"/>
      <w:bookmarkStart w:id="517" w:name="_Toc12650"/>
      <w:bookmarkStart w:id="518" w:name="_Toc19643"/>
      <w:bookmarkStart w:id="519" w:name="_Toc32008"/>
      <w:r>
        <w:rPr>
          <w:rFonts w:hint="eastAsia" w:ascii="宋体" w:hAnsi="宋体" w:eastAsia="楷体_GB2312" w:cs="Times New Roman"/>
          <w:b w:val="0"/>
          <w:bCs/>
          <w:color w:val="auto"/>
          <w:sz w:val="32"/>
          <w:szCs w:val="36"/>
          <w:highlight w:val="none"/>
          <w:lang w:val="en-US" w:eastAsia="zh-CN" w:bidi="ar"/>
        </w:rPr>
        <w:t>（八）</w:t>
      </w:r>
      <w:r>
        <w:rPr>
          <w:rFonts w:hint="eastAsia" w:ascii="宋体" w:hAnsi="宋体" w:eastAsia="楷体_GB2312" w:cs="Times New Roman"/>
          <w:b w:val="0"/>
          <w:bCs/>
          <w:color w:val="auto"/>
          <w:sz w:val="32"/>
          <w:szCs w:val="36"/>
          <w:highlight w:val="none"/>
          <w:lang w:eastAsia="zh-CN" w:bidi="ar"/>
        </w:rPr>
        <w:t>提升</w:t>
      </w:r>
      <w:r>
        <w:rPr>
          <w:rFonts w:hint="eastAsia" w:ascii="宋体" w:hAnsi="宋体" w:eastAsia="楷体_GB2312" w:cs="Times New Roman"/>
          <w:b w:val="0"/>
          <w:bCs/>
          <w:color w:val="auto"/>
          <w:sz w:val="32"/>
          <w:szCs w:val="36"/>
          <w:highlight w:val="none"/>
          <w:lang w:val="en-US" w:eastAsia="zh-CN" w:bidi="ar"/>
        </w:rPr>
        <w:t>长期护理保险经办管理</w:t>
      </w:r>
      <w:r>
        <w:rPr>
          <w:rFonts w:hint="eastAsia" w:ascii="宋体" w:hAnsi="宋体" w:eastAsia="楷体_GB2312" w:cs="Times New Roman"/>
          <w:b w:val="0"/>
          <w:bCs/>
          <w:color w:val="auto"/>
          <w:sz w:val="32"/>
          <w:szCs w:val="36"/>
          <w:highlight w:val="none"/>
          <w:lang w:eastAsia="zh-CN" w:bidi="ar"/>
        </w:rPr>
        <w:t>能力</w:t>
      </w:r>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p>
    <w:p w14:paraId="42EAB10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加强经办服务能力建设</w:t>
      </w:r>
      <w:r>
        <w:rPr>
          <w:rFonts w:hint="default"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lang w:val="en-US" w:eastAsia="zh-CN"/>
        </w:rPr>
        <w:t>强化定点</w:t>
      </w:r>
      <w:r>
        <w:rPr>
          <w:rFonts w:hint="default" w:ascii="仿宋_GB2312" w:hAnsi="仿宋_GB2312" w:eastAsia="仿宋_GB2312" w:cs="仿宋_GB2312"/>
          <w:color w:val="auto"/>
          <w:sz w:val="32"/>
          <w:szCs w:val="32"/>
          <w:highlight w:val="none"/>
          <w:lang w:val="en-US" w:eastAsia="zh-CN"/>
        </w:rPr>
        <w:t>机构协议管理</w:t>
      </w:r>
      <w:r>
        <w:rPr>
          <w:rFonts w:hint="eastAsia" w:ascii="仿宋_GB2312" w:hAnsi="仿宋_GB2312" w:eastAsia="仿宋_GB2312" w:cs="仿宋_GB2312"/>
          <w:color w:val="auto"/>
          <w:sz w:val="32"/>
          <w:szCs w:val="32"/>
          <w:highlight w:val="none"/>
          <w:lang w:val="en-US" w:eastAsia="zh-CN"/>
        </w:rPr>
        <w:t>和智能审核</w:t>
      </w:r>
      <w:r>
        <w:rPr>
          <w:rFonts w:hint="default"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lang w:val="en-US" w:eastAsia="zh-CN"/>
        </w:rPr>
        <w:t>完善</w:t>
      </w:r>
      <w:r>
        <w:rPr>
          <w:rFonts w:hint="default" w:ascii="仿宋_GB2312" w:hAnsi="仿宋_GB2312" w:eastAsia="仿宋_GB2312" w:cs="仿宋_GB2312"/>
          <w:color w:val="auto"/>
          <w:sz w:val="32"/>
          <w:szCs w:val="32"/>
          <w:highlight w:val="none"/>
          <w:lang w:val="en-US" w:eastAsia="zh-CN"/>
        </w:rPr>
        <w:t>对失能评估机构、护理服务机构和参与经办的第三方机构的考核评价和激励约束机制。规范失能等级评估和护理服务文书，健全评估和服务质控体系。</w:t>
      </w:r>
      <w:r>
        <w:rPr>
          <w:rFonts w:hint="eastAsia" w:ascii="仿宋_GB2312" w:hAnsi="仿宋_GB2312" w:eastAsia="仿宋_GB2312" w:cs="仿宋_GB2312"/>
          <w:color w:val="auto"/>
          <w:sz w:val="32"/>
          <w:szCs w:val="32"/>
          <w:highlight w:val="none"/>
          <w:lang w:val="en-US" w:eastAsia="zh-CN"/>
        </w:rPr>
        <w:t>优化长期护理保险公共管理服务配置。推动长期护理服务资源合理布局，促进智能外骨骼等智能化设备应用及长期护理相关领域创新发展。</w:t>
      </w:r>
    </w:p>
    <w:p w14:paraId="1B817FA4">
      <w:pPr>
        <w:pStyle w:val="4"/>
        <w:keepNext w:val="0"/>
        <w:keepLines w:val="0"/>
        <w:pageBreakBefore w:val="0"/>
        <w:widowControl w:val="0"/>
        <w:shd w:val="clear" w:color="auto" w:fill="auto"/>
        <w:kinsoku/>
        <w:wordWrap/>
        <w:overflowPunct/>
        <w:topLinePunct w:val="0"/>
        <w:autoSpaceDE/>
        <w:autoSpaceDN/>
        <w:bidi w:val="0"/>
        <w:adjustRightInd/>
        <w:snapToGrid/>
        <w:spacing w:beforeAutospacing="0" w:afterAutospacing="0" w:line="560" w:lineRule="exact"/>
        <w:ind w:firstLineChars="200"/>
        <w:jc w:val="both"/>
        <w:textAlignment w:val="auto"/>
        <w:outlineLvl w:val="0"/>
        <w:rPr>
          <w:rFonts w:hint="eastAsia" w:ascii="黑体" w:hAnsi="黑体" w:eastAsia="黑体" w:cs="黑体"/>
          <w:b w:val="0"/>
          <w:bCs w:val="0"/>
          <w:color w:val="auto"/>
          <w:kern w:val="44"/>
          <w:sz w:val="32"/>
          <w:szCs w:val="32"/>
          <w:highlight w:val="none"/>
          <w:lang w:val="en-US" w:eastAsia="zh-CN" w:bidi="ar"/>
        </w:rPr>
      </w:pPr>
      <w:bookmarkStart w:id="520" w:name="_Toc19126"/>
      <w:bookmarkStart w:id="521" w:name="_Toc3248"/>
      <w:bookmarkStart w:id="522" w:name="_Toc30846"/>
      <w:bookmarkStart w:id="523" w:name="_Toc20731"/>
      <w:bookmarkStart w:id="524" w:name="_Toc17138"/>
      <w:bookmarkStart w:id="525" w:name="_Toc17278"/>
      <w:bookmarkStart w:id="526" w:name="_Toc16470"/>
      <w:bookmarkStart w:id="527" w:name="_Toc6041"/>
      <w:bookmarkStart w:id="528" w:name="_Toc10307"/>
      <w:bookmarkStart w:id="529" w:name="_Toc22250"/>
      <w:bookmarkStart w:id="530" w:name="_Toc9750"/>
      <w:bookmarkStart w:id="531" w:name="_Toc12551"/>
      <w:bookmarkStart w:id="532" w:name="_Toc5037"/>
      <w:bookmarkStart w:id="533" w:name="_Toc7348"/>
      <w:bookmarkStart w:id="534" w:name="_Toc8462"/>
      <w:bookmarkStart w:id="535" w:name="_Toc8809"/>
      <w:bookmarkStart w:id="536" w:name="_Toc9095"/>
      <w:bookmarkStart w:id="537" w:name="_Toc30504"/>
      <w:bookmarkStart w:id="538" w:name="_Toc23397"/>
      <w:bookmarkStart w:id="539" w:name="_Toc26315"/>
      <w:bookmarkStart w:id="540" w:name="_Toc14610"/>
      <w:bookmarkStart w:id="541" w:name="_Toc6130"/>
      <w:bookmarkStart w:id="542" w:name="_Toc14429"/>
      <w:bookmarkStart w:id="543" w:name="_Toc3555"/>
      <w:bookmarkStart w:id="544" w:name="_Toc19541"/>
      <w:bookmarkStart w:id="545" w:name="_Toc14681"/>
      <w:bookmarkStart w:id="546" w:name="_Toc2703"/>
      <w:bookmarkStart w:id="547" w:name="_Toc16339"/>
      <w:bookmarkStart w:id="548" w:name="_Toc25952"/>
      <w:bookmarkStart w:id="549" w:name="_Toc17810"/>
      <w:bookmarkStart w:id="550" w:name="_Toc23041"/>
      <w:bookmarkStart w:id="551" w:name="_Toc23148"/>
      <w:bookmarkStart w:id="552" w:name="_Toc11154"/>
      <w:bookmarkStart w:id="553" w:name="_Toc19907"/>
      <w:bookmarkStart w:id="554" w:name="_Toc32481"/>
      <w:bookmarkStart w:id="555" w:name="_Toc20451"/>
      <w:bookmarkStart w:id="556" w:name="_Toc20556"/>
      <w:bookmarkStart w:id="557" w:name="_Toc30545"/>
      <w:bookmarkStart w:id="558" w:name="_Toc25002"/>
      <w:bookmarkStart w:id="559" w:name="_Toc31731"/>
      <w:bookmarkStart w:id="560" w:name="_Toc22998"/>
      <w:bookmarkStart w:id="561" w:name="_Toc16988"/>
      <w:bookmarkStart w:id="562" w:name="_Toc1507"/>
      <w:bookmarkStart w:id="563" w:name="_Toc12533"/>
      <w:bookmarkStart w:id="564" w:name="_Toc23848"/>
      <w:bookmarkStart w:id="565" w:name="_Toc30477"/>
      <w:bookmarkStart w:id="566" w:name="_Toc27806"/>
      <w:bookmarkStart w:id="567" w:name="_Toc21650"/>
      <w:bookmarkStart w:id="568" w:name="_Toc27542"/>
      <w:bookmarkStart w:id="569" w:name="_Toc26996"/>
      <w:bookmarkStart w:id="570" w:name="_Toc4025"/>
      <w:bookmarkStart w:id="571" w:name="_Toc12948"/>
      <w:bookmarkStart w:id="572" w:name="_Toc12193"/>
      <w:bookmarkStart w:id="573" w:name="_Toc2283"/>
      <w:bookmarkStart w:id="574" w:name="_Toc7918"/>
      <w:bookmarkStart w:id="575" w:name="_Toc9416"/>
      <w:bookmarkStart w:id="576" w:name="_Toc8541"/>
      <w:bookmarkStart w:id="577" w:name="_Toc8358"/>
      <w:bookmarkStart w:id="578" w:name="_Toc30137"/>
      <w:bookmarkStart w:id="579" w:name="_Toc21425"/>
      <w:bookmarkStart w:id="580" w:name="_Toc17387"/>
      <w:bookmarkStart w:id="581" w:name="_Toc12269"/>
      <w:bookmarkStart w:id="582" w:name="_Toc13527"/>
      <w:bookmarkStart w:id="583" w:name="_Toc21275"/>
      <w:bookmarkStart w:id="584" w:name="_Toc14139"/>
      <w:bookmarkStart w:id="585" w:name="_Toc15466"/>
      <w:bookmarkStart w:id="586" w:name="_Toc15515"/>
      <w:bookmarkStart w:id="587" w:name="_Toc21784"/>
      <w:bookmarkStart w:id="588" w:name="_Toc19150"/>
      <w:bookmarkStart w:id="589" w:name="_Toc24503"/>
      <w:bookmarkStart w:id="590" w:name="_Toc624"/>
      <w:bookmarkStart w:id="591" w:name="_Toc2064"/>
      <w:bookmarkStart w:id="592" w:name="_Toc11713"/>
      <w:bookmarkStart w:id="593" w:name="_Toc18288"/>
      <w:bookmarkStart w:id="594" w:name="_Toc7109"/>
      <w:bookmarkStart w:id="595" w:name="_Toc22865"/>
      <w:bookmarkStart w:id="596" w:name="_Toc14025"/>
      <w:bookmarkStart w:id="597" w:name="_Toc21306"/>
      <w:bookmarkStart w:id="598" w:name="_Toc18343"/>
      <w:bookmarkStart w:id="599" w:name="_Toc22084"/>
      <w:bookmarkStart w:id="600" w:name="_Toc6177"/>
      <w:bookmarkStart w:id="601" w:name="_Toc19927"/>
      <w:bookmarkStart w:id="602" w:name="_Toc25426"/>
      <w:bookmarkStart w:id="603" w:name="_Toc26224"/>
      <w:bookmarkStart w:id="604" w:name="_Toc19954"/>
      <w:bookmarkStart w:id="605" w:name="_Toc663"/>
      <w:r>
        <w:rPr>
          <w:rFonts w:hint="eastAsia" w:ascii="黑体" w:hAnsi="黑体" w:eastAsia="黑体" w:cs="黑体"/>
          <w:b w:val="0"/>
          <w:bCs w:val="0"/>
          <w:color w:val="auto"/>
          <w:sz w:val="32"/>
          <w:szCs w:val="32"/>
          <w:highlight w:val="none"/>
          <w:lang w:val="en-US" w:eastAsia="zh-CN"/>
        </w:rPr>
        <w:t>四</w:t>
      </w:r>
      <w:r>
        <w:rPr>
          <w:rFonts w:hint="eastAsia" w:ascii="黑体" w:hAnsi="黑体" w:eastAsia="黑体" w:cs="黑体"/>
          <w:b w:val="0"/>
          <w:bCs w:val="0"/>
          <w:color w:val="auto"/>
          <w:kern w:val="44"/>
          <w:sz w:val="32"/>
          <w:szCs w:val="32"/>
          <w:highlight w:val="none"/>
          <w:lang w:eastAsia="zh-CN" w:bidi="ar"/>
        </w:rPr>
        <w:t>、</w:t>
      </w:r>
      <w:bookmarkEnd w:id="520"/>
      <w:bookmarkEnd w:id="521"/>
      <w:bookmarkEnd w:id="522"/>
      <w:bookmarkEnd w:id="523"/>
      <w:r>
        <w:rPr>
          <w:rFonts w:hint="eastAsia" w:ascii="黑体" w:hAnsi="黑体" w:eastAsia="黑体" w:cs="黑体"/>
          <w:b w:val="0"/>
          <w:bCs w:val="0"/>
          <w:color w:val="auto"/>
          <w:kern w:val="44"/>
          <w:sz w:val="32"/>
          <w:szCs w:val="32"/>
          <w:highlight w:val="none"/>
          <w:lang w:val="en-US" w:eastAsia="zh-CN" w:bidi="ar"/>
        </w:rPr>
        <w:t>深化医药服务改革</w:t>
      </w:r>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p>
    <w:p w14:paraId="7405B359">
      <w:pPr>
        <w:pStyle w:val="5"/>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both"/>
        <w:textAlignment w:val="auto"/>
        <w:outlineLvl w:val="1"/>
        <w:rPr>
          <w:rFonts w:hint="eastAsia" w:ascii="宋体" w:hAnsi="宋体" w:eastAsia="楷体_GB2312" w:cs="Times New Roman"/>
          <w:b w:val="0"/>
          <w:bCs/>
          <w:color w:val="auto"/>
          <w:sz w:val="32"/>
          <w:szCs w:val="36"/>
          <w:highlight w:val="none"/>
          <w:lang w:eastAsia="zh-CN" w:bidi="ar"/>
        </w:rPr>
      </w:pPr>
      <w:bookmarkStart w:id="606" w:name="_Toc15485"/>
      <w:bookmarkStart w:id="607" w:name="_Toc10927"/>
      <w:bookmarkStart w:id="608" w:name="_Toc13389"/>
      <w:bookmarkStart w:id="609" w:name="_Toc15285"/>
      <w:bookmarkStart w:id="610" w:name="_Toc31368"/>
      <w:bookmarkStart w:id="611" w:name="_Toc8647"/>
      <w:bookmarkStart w:id="612" w:name="_Toc657"/>
      <w:bookmarkStart w:id="613" w:name="_Toc23940"/>
      <w:bookmarkStart w:id="614" w:name="_Toc15460"/>
      <w:bookmarkStart w:id="615" w:name="_Toc3612"/>
      <w:bookmarkStart w:id="616" w:name="_Toc26288"/>
      <w:bookmarkStart w:id="617" w:name="_Toc29420"/>
      <w:bookmarkStart w:id="618" w:name="_Toc6975"/>
      <w:bookmarkStart w:id="619" w:name="_Toc29312"/>
      <w:bookmarkStart w:id="620" w:name="_Toc11470"/>
      <w:bookmarkStart w:id="621" w:name="_Toc11302"/>
      <w:bookmarkStart w:id="622" w:name="_Toc31339"/>
      <w:bookmarkStart w:id="623" w:name="_Toc5395"/>
      <w:bookmarkStart w:id="624" w:name="_Toc12150"/>
      <w:bookmarkStart w:id="625" w:name="_Toc9663"/>
      <w:bookmarkStart w:id="626" w:name="_Toc14916"/>
      <w:bookmarkStart w:id="627" w:name="_Toc27109"/>
      <w:bookmarkStart w:id="628" w:name="_Toc16663"/>
      <w:bookmarkStart w:id="629" w:name="_Toc30723"/>
      <w:bookmarkStart w:id="630" w:name="_Toc32276"/>
      <w:bookmarkStart w:id="631" w:name="_Toc20550"/>
      <w:bookmarkStart w:id="632" w:name="_Toc21353"/>
      <w:bookmarkStart w:id="633" w:name="_Toc1098"/>
      <w:bookmarkStart w:id="634" w:name="_Toc30261"/>
      <w:bookmarkStart w:id="635" w:name="_Toc27660"/>
      <w:bookmarkStart w:id="636" w:name="_Toc31797"/>
      <w:bookmarkStart w:id="637" w:name="_Toc5665"/>
      <w:bookmarkStart w:id="638" w:name="_Toc15145"/>
      <w:bookmarkStart w:id="639" w:name="_Toc9783"/>
      <w:bookmarkStart w:id="640" w:name="_Toc29490"/>
      <w:bookmarkStart w:id="641" w:name="_Toc2510"/>
      <w:bookmarkStart w:id="642" w:name="_Toc1566"/>
      <w:bookmarkStart w:id="643" w:name="_Toc20928"/>
      <w:bookmarkStart w:id="644" w:name="_Toc31318"/>
      <w:bookmarkStart w:id="645" w:name="_Toc2498"/>
      <w:bookmarkStart w:id="646" w:name="_Toc2279"/>
      <w:bookmarkStart w:id="647" w:name="_Toc1688"/>
      <w:bookmarkStart w:id="648" w:name="_Toc30011"/>
      <w:bookmarkStart w:id="649" w:name="_Toc8417"/>
      <w:bookmarkStart w:id="650" w:name="_Toc1712"/>
      <w:bookmarkStart w:id="651" w:name="_Toc24125"/>
      <w:bookmarkStart w:id="652" w:name="_Toc7786"/>
      <w:bookmarkStart w:id="653" w:name="_Toc3785"/>
      <w:bookmarkStart w:id="654" w:name="_Toc20509"/>
      <w:bookmarkStart w:id="655" w:name="_Toc11920"/>
      <w:bookmarkStart w:id="656" w:name="_Toc32433"/>
      <w:bookmarkStart w:id="657" w:name="_Toc4315"/>
      <w:bookmarkStart w:id="658" w:name="_Toc25299"/>
      <w:bookmarkStart w:id="659" w:name="_Toc19594"/>
      <w:bookmarkStart w:id="660" w:name="_Toc9739"/>
      <w:bookmarkStart w:id="661" w:name="_Toc614"/>
      <w:bookmarkStart w:id="662" w:name="_Toc13720"/>
      <w:bookmarkStart w:id="663" w:name="_Toc905"/>
      <w:bookmarkStart w:id="664" w:name="_Toc26006"/>
      <w:bookmarkStart w:id="665" w:name="_Toc13854"/>
      <w:bookmarkStart w:id="666" w:name="_Toc6161"/>
      <w:bookmarkStart w:id="667" w:name="_Toc22018"/>
      <w:bookmarkStart w:id="668" w:name="_Toc19152"/>
      <w:bookmarkStart w:id="669" w:name="_Toc16006"/>
      <w:bookmarkStart w:id="670" w:name="_Toc18604"/>
      <w:bookmarkStart w:id="671" w:name="_Toc9481"/>
      <w:bookmarkStart w:id="672" w:name="_Toc19631"/>
      <w:bookmarkStart w:id="673" w:name="_Toc32278"/>
      <w:bookmarkStart w:id="674" w:name="_Toc11639"/>
      <w:bookmarkStart w:id="675" w:name="_Toc3882"/>
      <w:bookmarkStart w:id="676" w:name="_Toc19257"/>
      <w:bookmarkStart w:id="677" w:name="_Toc25251"/>
      <w:bookmarkStart w:id="678" w:name="_Toc21033"/>
      <w:bookmarkStart w:id="679" w:name="_Toc13522"/>
      <w:bookmarkStart w:id="680" w:name="_Toc15470"/>
      <w:bookmarkStart w:id="681" w:name="_Toc28472"/>
      <w:bookmarkStart w:id="682" w:name="_Toc6726"/>
      <w:bookmarkStart w:id="683" w:name="_Toc4492"/>
      <w:bookmarkStart w:id="684" w:name="_Toc25854"/>
      <w:bookmarkStart w:id="685" w:name="_Toc8555"/>
      <w:bookmarkStart w:id="686" w:name="_Toc8983"/>
      <w:bookmarkStart w:id="687" w:name="_Toc6700"/>
      <w:bookmarkStart w:id="688" w:name="_Toc6551"/>
      <w:bookmarkStart w:id="689" w:name="_Toc19337"/>
      <w:bookmarkStart w:id="690" w:name="_Toc28786"/>
      <w:bookmarkStart w:id="691" w:name="_Toc10030"/>
      <w:r>
        <w:rPr>
          <w:rFonts w:hint="eastAsia" w:ascii="宋体" w:hAnsi="宋体" w:eastAsia="楷体_GB2312" w:cs="Times New Roman"/>
          <w:b w:val="0"/>
          <w:bCs/>
          <w:color w:val="auto"/>
          <w:sz w:val="32"/>
          <w:szCs w:val="36"/>
          <w:highlight w:val="none"/>
          <w:lang w:val="en-US" w:eastAsia="zh-CN" w:bidi="ar"/>
        </w:rPr>
        <w:t>（九）强化</w:t>
      </w:r>
      <w:r>
        <w:rPr>
          <w:rFonts w:hint="eastAsia" w:ascii="宋体" w:hAnsi="宋体" w:eastAsia="楷体_GB2312" w:cs="Times New Roman"/>
          <w:b w:val="0"/>
          <w:bCs/>
          <w:color w:val="auto"/>
          <w:sz w:val="32"/>
          <w:szCs w:val="36"/>
          <w:highlight w:val="none"/>
          <w:lang w:eastAsia="zh-CN" w:bidi="ar"/>
        </w:rPr>
        <w:t>医保目录管理</w:t>
      </w:r>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p>
    <w:p w14:paraId="08AA681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color w:val="auto"/>
          <w:sz w:val="32"/>
          <w:szCs w:val="32"/>
          <w:highlight w:val="none"/>
          <w:lang w:val="en-US" w:eastAsia="zh-CN"/>
        </w:rPr>
      </w:pPr>
      <w:bookmarkStart w:id="692" w:name="_Toc26760"/>
      <w:bookmarkStart w:id="693" w:name="_Toc5006"/>
      <w:r>
        <w:rPr>
          <w:rFonts w:hint="default" w:ascii="仿宋_GB2312" w:hAnsi="仿宋_GB2312" w:eastAsia="仿宋_GB2312" w:cs="仿宋_GB2312"/>
          <w:color w:val="auto"/>
          <w:sz w:val="32"/>
          <w:szCs w:val="32"/>
          <w:highlight w:val="none"/>
          <w:lang w:val="en-US" w:eastAsia="zh-CN"/>
        </w:rPr>
        <w:t>执行国家统一的医保药品目录</w:t>
      </w:r>
      <w:r>
        <w:rPr>
          <w:rFonts w:hint="eastAsia" w:ascii="仿宋_GB2312" w:hAnsi="仿宋_GB2312" w:eastAsia="仿宋_GB2312" w:cs="仿宋_GB2312"/>
          <w:color w:val="auto"/>
          <w:sz w:val="32"/>
          <w:szCs w:val="32"/>
          <w:highlight w:val="none"/>
          <w:lang w:val="en-US" w:eastAsia="zh-CN"/>
        </w:rPr>
        <w:t>支付管理政策</w:t>
      </w:r>
      <w:r>
        <w:rPr>
          <w:rFonts w:hint="default" w:ascii="仿宋_GB2312" w:hAnsi="仿宋_GB2312" w:eastAsia="仿宋_GB2312" w:cs="仿宋_GB2312"/>
          <w:color w:val="auto"/>
          <w:sz w:val="32"/>
          <w:szCs w:val="32"/>
          <w:highlight w:val="none"/>
          <w:lang w:val="en-US" w:eastAsia="zh-CN"/>
        </w:rPr>
        <w:t>，完善“双通道”</w:t>
      </w:r>
      <w:r>
        <w:rPr>
          <w:rFonts w:hint="eastAsia" w:ascii="仿宋_GB2312" w:hAnsi="仿宋_GB2312" w:eastAsia="仿宋_GB2312" w:cs="仿宋_GB2312"/>
          <w:color w:val="auto"/>
          <w:sz w:val="32"/>
          <w:szCs w:val="32"/>
          <w:highlight w:val="none"/>
          <w:lang w:val="en-US" w:eastAsia="zh-CN"/>
        </w:rPr>
        <w:t>药品</w:t>
      </w:r>
      <w:r>
        <w:rPr>
          <w:rFonts w:hint="default" w:ascii="仿宋_GB2312" w:hAnsi="仿宋_GB2312" w:eastAsia="仿宋_GB2312" w:cs="仿宋_GB2312"/>
          <w:color w:val="auto"/>
          <w:sz w:val="32"/>
          <w:szCs w:val="32"/>
          <w:highlight w:val="none"/>
          <w:lang w:val="en-US" w:eastAsia="zh-CN"/>
        </w:rPr>
        <w:t>管理</w:t>
      </w:r>
      <w:r>
        <w:rPr>
          <w:rFonts w:hint="eastAsia" w:ascii="仿宋_GB2312" w:hAnsi="仿宋_GB2312" w:eastAsia="仿宋_GB2312" w:cs="仿宋_GB2312"/>
          <w:color w:val="auto"/>
          <w:sz w:val="32"/>
          <w:szCs w:val="32"/>
          <w:highlight w:val="none"/>
          <w:lang w:val="en-US" w:eastAsia="zh-CN"/>
        </w:rPr>
        <w:t>。按照国家要求，规范医疗服务项目和医用耗材支付管理，落实国家医用耗材医保通用名，统一规范全省医疗</w:t>
      </w:r>
      <w:r>
        <w:rPr>
          <w:rFonts w:hint="default" w:ascii="仿宋_GB2312" w:hAnsi="仿宋_GB2312" w:eastAsia="仿宋_GB2312" w:cs="仿宋_GB2312"/>
          <w:color w:val="auto"/>
          <w:sz w:val="32"/>
          <w:szCs w:val="32"/>
          <w:highlight w:val="none"/>
          <w:lang w:val="en-US" w:eastAsia="zh-CN"/>
        </w:rPr>
        <w:t>服务项目和医用耗材</w:t>
      </w:r>
      <w:r>
        <w:rPr>
          <w:rFonts w:hint="eastAsia" w:ascii="仿宋_GB2312" w:hAnsi="仿宋_GB2312" w:eastAsia="仿宋_GB2312" w:cs="仿宋_GB2312"/>
          <w:color w:val="auto"/>
          <w:sz w:val="32"/>
          <w:szCs w:val="32"/>
          <w:highlight w:val="none"/>
          <w:lang w:val="en-US" w:eastAsia="zh-CN"/>
        </w:rPr>
        <w:t>医保</w:t>
      </w:r>
      <w:r>
        <w:rPr>
          <w:rFonts w:hint="default" w:ascii="仿宋_GB2312" w:hAnsi="仿宋_GB2312" w:eastAsia="仿宋_GB2312" w:cs="仿宋_GB2312"/>
          <w:color w:val="auto"/>
          <w:sz w:val="32"/>
          <w:szCs w:val="32"/>
          <w:highlight w:val="none"/>
          <w:lang w:val="en-US" w:eastAsia="zh-CN"/>
        </w:rPr>
        <w:t>目录</w:t>
      </w:r>
      <w:r>
        <w:rPr>
          <w:rFonts w:hint="eastAsia" w:ascii="仿宋_GB2312" w:hAnsi="仿宋_GB2312" w:eastAsia="仿宋_GB2312" w:cs="仿宋_GB2312"/>
          <w:color w:val="auto"/>
          <w:sz w:val="32"/>
          <w:szCs w:val="32"/>
          <w:highlight w:val="none"/>
          <w:lang w:val="en-US" w:eastAsia="zh-CN"/>
        </w:rPr>
        <w:t>。将8项辅助生殖类医疗服务项目纳入基本医疗保险、工伤保险和生育保险诊疗项目及医疗服务设施目录范围。</w:t>
      </w:r>
    </w:p>
    <w:p w14:paraId="0287B45E">
      <w:pPr>
        <w:pStyle w:val="5"/>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both"/>
        <w:textAlignment w:val="auto"/>
        <w:outlineLvl w:val="1"/>
        <w:rPr>
          <w:rFonts w:hint="eastAsia" w:ascii="宋体" w:hAnsi="宋体" w:eastAsia="楷体_GB2312" w:cs="Times New Roman"/>
          <w:b w:val="0"/>
          <w:bCs/>
          <w:color w:val="auto"/>
          <w:sz w:val="32"/>
          <w:szCs w:val="36"/>
          <w:highlight w:val="none"/>
          <w:lang w:eastAsia="zh-CN" w:bidi="ar"/>
        </w:rPr>
      </w:pPr>
      <w:bookmarkStart w:id="694" w:name="_Toc980"/>
      <w:bookmarkStart w:id="695" w:name="_Toc11392"/>
      <w:bookmarkStart w:id="696" w:name="_Toc5309"/>
      <w:bookmarkStart w:id="697" w:name="_Toc23373"/>
      <w:bookmarkStart w:id="698" w:name="_Toc22385"/>
      <w:bookmarkStart w:id="699" w:name="_Toc9628"/>
      <w:bookmarkStart w:id="700" w:name="_Toc24060"/>
      <w:bookmarkStart w:id="701" w:name="_Toc23132"/>
      <w:bookmarkStart w:id="702" w:name="_Toc5633"/>
      <w:bookmarkStart w:id="703" w:name="_Toc10867"/>
      <w:bookmarkStart w:id="704" w:name="_Toc18470"/>
      <w:bookmarkStart w:id="705" w:name="_Toc2655"/>
      <w:bookmarkStart w:id="706" w:name="_Toc22227"/>
      <w:bookmarkStart w:id="707" w:name="_Toc29634"/>
      <w:bookmarkStart w:id="708" w:name="_Toc4986"/>
      <w:bookmarkStart w:id="709" w:name="_Toc17397"/>
      <w:bookmarkStart w:id="710" w:name="_Toc26068"/>
      <w:bookmarkStart w:id="711" w:name="_Toc17116"/>
      <w:bookmarkStart w:id="712" w:name="_Toc25159"/>
      <w:bookmarkStart w:id="713" w:name="_Toc23924"/>
      <w:bookmarkStart w:id="714" w:name="_Toc58"/>
      <w:bookmarkStart w:id="715" w:name="_Toc22012"/>
      <w:bookmarkStart w:id="716" w:name="_Toc6501"/>
      <w:bookmarkStart w:id="717" w:name="_Toc1983"/>
      <w:bookmarkStart w:id="718" w:name="_Toc7411"/>
      <w:bookmarkStart w:id="719" w:name="_Toc31261"/>
      <w:bookmarkStart w:id="720" w:name="_Toc16312"/>
      <w:bookmarkStart w:id="721" w:name="_Toc17197"/>
      <w:bookmarkStart w:id="722" w:name="_Toc535"/>
      <w:bookmarkStart w:id="723" w:name="_Toc4228"/>
      <w:bookmarkStart w:id="724" w:name="_Toc14183"/>
      <w:bookmarkStart w:id="725" w:name="_Toc29607"/>
      <w:bookmarkStart w:id="726" w:name="_Toc11341"/>
      <w:bookmarkStart w:id="727" w:name="_Toc7132"/>
      <w:bookmarkStart w:id="728" w:name="_Toc28125"/>
      <w:bookmarkStart w:id="729" w:name="_Toc16584"/>
      <w:bookmarkStart w:id="730" w:name="_Toc4555"/>
      <w:bookmarkStart w:id="731" w:name="_Toc16891"/>
      <w:bookmarkStart w:id="732" w:name="_Toc6811"/>
      <w:bookmarkStart w:id="733" w:name="_Toc4831"/>
      <w:bookmarkStart w:id="734" w:name="_Toc4514"/>
      <w:bookmarkStart w:id="735" w:name="_Toc13749"/>
      <w:bookmarkStart w:id="736" w:name="_Toc9724"/>
      <w:bookmarkStart w:id="737" w:name="_Toc4096"/>
      <w:bookmarkStart w:id="738" w:name="_Toc2047"/>
      <w:bookmarkStart w:id="739" w:name="_Toc18540"/>
      <w:bookmarkStart w:id="740" w:name="_Toc23249"/>
      <w:bookmarkStart w:id="741" w:name="_Toc31265"/>
      <w:bookmarkStart w:id="742" w:name="_Toc12349"/>
      <w:bookmarkStart w:id="743" w:name="_Toc1359"/>
      <w:bookmarkStart w:id="744" w:name="_Toc28294"/>
      <w:bookmarkStart w:id="745" w:name="_Toc7848"/>
      <w:bookmarkStart w:id="746" w:name="_Toc17509"/>
      <w:bookmarkStart w:id="747" w:name="_Toc30904"/>
      <w:bookmarkStart w:id="748" w:name="_Toc1886"/>
      <w:bookmarkStart w:id="749" w:name="_Toc16432"/>
      <w:bookmarkStart w:id="750" w:name="_Toc19094"/>
      <w:bookmarkStart w:id="751" w:name="_Toc4208"/>
      <w:bookmarkStart w:id="752" w:name="_Toc31409"/>
      <w:bookmarkStart w:id="753" w:name="_Toc7589"/>
      <w:bookmarkStart w:id="754" w:name="_Toc8078"/>
      <w:bookmarkStart w:id="755" w:name="_Toc15863"/>
      <w:bookmarkStart w:id="756" w:name="_Toc30472"/>
      <w:bookmarkStart w:id="757" w:name="_Toc24830"/>
      <w:bookmarkStart w:id="758" w:name="_Toc32308"/>
      <w:r>
        <w:rPr>
          <w:rFonts w:hint="eastAsia" w:ascii="宋体" w:hAnsi="宋体" w:eastAsia="楷体_GB2312" w:cs="Times New Roman"/>
          <w:b w:val="0"/>
          <w:bCs/>
          <w:color w:val="auto"/>
          <w:sz w:val="32"/>
          <w:szCs w:val="36"/>
          <w:highlight w:val="none"/>
          <w:lang w:val="en-US" w:eastAsia="zh-CN" w:bidi="ar"/>
        </w:rPr>
        <w:t>（十）构建</w:t>
      </w:r>
      <w:r>
        <w:rPr>
          <w:rFonts w:hint="eastAsia" w:ascii="宋体" w:hAnsi="宋体" w:eastAsia="楷体_GB2312" w:cs="Times New Roman"/>
          <w:b w:val="0"/>
          <w:bCs/>
          <w:color w:val="auto"/>
          <w:sz w:val="32"/>
          <w:szCs w:val="36"/>
          <w:highlight w:val="none"/>
          <w:lang w:eastAsia="zh-CN" w:bidi="ar"/>
        </w:rPr>
        <w:t>多元复合式医保支付体系</w:t>
      </w:r>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p>
    <w:p w14:paraId="6435FE9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持续</w:t>
      </w:r>
      <w:r>
        <w:rPr>
          <w:rFonts w:hint="default" w:ascii="仿宋_GB2312" w:hAnsi="仿宋_GB2312" w:eastAsia="仿宋_GB2312" w:cs="仿宋_GB2312"/>
          <w:color w:val="auto"/>
          <w:sz w:val="32"/>
          <w:szCs w:val="32"/>
          <w:highlight w:val="none"/>
          <w:lang w:val="en-US" w:eastAsia="zh-CN"/>
        </w:rPr>
        <w:t>深化以按病种付费为主的多元复合式医保支付方式改革</w:t>
      </w:r>
      <w:r>
        <w:rPr>
          <w:rFonts w:hint="eastAsia" w:ascii="仿宋_GB2312" w:hAnsi="仿宋_GB2312" w:eastAsia="仿宋_GB2312" w:cs="仿宋_GB2312"/>
          <w:color w:val="auto"/>
          <w:sz w:val="32"/>
          <w:szCs w:val="32"/>
          <w:highlight w:val="none"/>
          <w:lang w:val="en-US" w:eastAsia="zh-CN"/>
        </w:rPr>
        <w:t>，加强统筹区医保基金支出总额管理</w:t>
      </w:r>
      <w:r>
        <w:rPr>
          <w:rFonts w:hint="default" w:ascii="仿宋_GB2312" w:hAnsi="仿宋_GB2312" w:eastAsia="仿宋_GB2312" w:cs="仿宋_GB2312"/>
          <w:color w:val="auto"/>
          <w:sz w:val="32"/>
          <w:szCs w:val="32"/>
          <w:highlight w:val="none"/>
          <w:lang w:val="en-US" w:eastAsia="zh-CN"/>
        </w:rPr>
        <w:t>。迭代按病组（种）分组技术，</w:t>
      </w:r>
      <w:r>
        <w:rPr>
          <w:rFonts w:hint="eastAsia" w:ascii="仿宋_GB2312" w:hAnsi="仿宋_GB2312" w:eastAsia="仿宋_GB2312" w:cs="仿宋_GB2312"/>
          <w:color w:val="auto"/>
          <w:sz w:val="32"/>
          <w:szCs w:val="32"/>
          <w:highlight w:val="none"/>
          <w:lang w:val="en-US" w:eastAsia="zh-CN"/>
        </w:rPr>
        <w:t>探索推动</w:t>
      </w:r>
      <w:r>
        <w:rPr>
          <w:rFonts w:hint="default" w:ascii="仿宋_GB2312" w:hAnsi="仿宋_GB2312" w:eastAsia="仿宋_GB2312" w:cs="仿宋_GB2312"/>
          <w:color w:val="auto"/>
          <w:sz w:val="32"/>
          <w:szCs w:val="32"/>
          <w:highlight w:val="none"/>
          <w:lang w:val="en-US" w:eastAsia="zh-CN"/>
        </w:rPr>
        <w:t>按病组（DRG）和按病种分值付费（DIP）融合发展</w:t>
      </w:r>
      <w:r>
        <w:rPr>
          <w:rFonts w:hint="eastAsia" w:ascii="仿宋_GB2312" w:hAnsi="仿宋_GB2312" w:eastAsia="仿宋_GB2312" w:cs="仿宋_GB2312"/>
          <w:color w:val="auto"/>
          <w:sz w:val="32"/>
          <w:szCs w:val="32"/>
          <w:highlight w:val="none"/>
          <w:lang w:val="en-US" w:eastAsia="zh-CN"/>
        </w:rPr>
        <w:t>，</w:t>
      </w:r>
      <w:r>
        <w:rPr>
          <w:rFonts w:hint="default" w:ascii="仿宋_GB2312" w:hAnsi="仿宋_GB2312" w:eastAsia="仿宋_GB2312" w:cs="仿宋_GB2312"/>
          <w:color w:val="auto"/>
          <w:sz w:val="32"/>
          <w:szCs w:val="32"/>
          <w:highlight w:val="none"/>
          <w:lang w:val="en-US" w:eastAsia="zh-CN"/>
        </w:rPr>
        <w:t>完善各项配套机制，逐步规范全省基层病种</w:t>
      </w:r>
      <w:r>
        <w:rPr>
          <w:rFonts w:hint="eastAsia" w:ascii="仿宋_GB2312" w:hAnsi="仿宋_GB2312" w:eastAsia="仿宋_GB2312" w:cs="仿宋_GB2312"/>
          <w:color w:val="auto"/>
          <w:sz w:val="32"/>
          <w:szCs w:val="32"/>
          <w:highlight w:val="none"/>
          <w:lang w:val="en-US" w:eastAsia="zh-CN"/>
        </w:rPr>
        <w:t>。</w:t>
      </w:r>
      <w:r>
        <w:rPr>
          <w:rFonts w:hint="default" w:ascii="仿宋_GB2312" w:hAnsi="仿宋_GB2312" w:eastAsia="仿宋_GB2312" w:cs="仿宋_GB2312"/>
          <w:color w:val="auto"/>
          <w:sz w:val="32"/>
          <w:szCs w:val="32"/>
          <w:highlight w:val="none"/>
          <w:lang w:val="en-US" w:eastAsia="zh-CN"/>
        </w:rPr>
        <w:t>完善省内异地就医按病组（种）付费，</w:t>
      </w:r>
      <w:r>
        <w:rPr>
          <w:rFonts w:hint="eastAsia" w:ascii="仿宋_GB2312" w:hAnsi="仿宋_GB2312" w:eastAsia="仿宋_GB2312" w:cs="仿宋_GB2312"/>
          <w:color w:val="auto"/>
          <w:sz w:val="32"/>
          <w:szCs w:val="32"/>
          <w:highlight w:val="none"/>
          <w:lang w:val="en-US" w:eastAsia="zh-CN"/>
        </w:rPr>
        <w:t>探索跨省异地就医支付方式改革。推进</w:t>
      </w:r>
      <w:r>
        <w:rPr>
          <w:rFonts w:hint="default" w:ascii="仿宋_GB2312" w:hAnsi="仿宋_GB2312" w:eastAsia="仿宋_GB2312" w:cs="仿宋_GB2312"/>
          <w:color w:val="auto"/>
          <w:sz w:val="32"/>
          <w:szCs w:val="32"/>
          <w:highlight w:val="none"/>
          <w:lang w:val="en-US" w:eastAsia="zh-CN"/>
        </w:rPr>
        <w:t>门诊支付方式改革</w:t>
      </w:r>
      <w:r>
        <w:rPr>
          <w:rFonts w:hint="eastAsia" w:ascii="仿宋_GB2312" w:hAnsi="仿宋_GB2312" w:eastAsia="仿宋_GB2312" w:cs="仿宋_GB2312"/>
          <w:color w:val="auto"/>
          <w:sz w:val="32"/>
          <w:szCs w:val="32"/>
          <w:highlight w:val="none"/>
          <w:lang w:val="en-US" w:eastAsia="zh-CN"/>
        </w:rPr>
        <w:t>试点。探索精神疾病、医疗康复等按床日等多种支付方式</w:t>
      </w:r>
      <w:r>
        <w:rPr>
          <w:rFonts w:hint="default" w:ascii="仿宋_GB2312" w:hAnsi="仿宋_GB2312" w:eastAsia="仿宋_GB2312" w:cs="仿宋_GB2312"/>
          <w:color w:val="auto"/>
          <w:sz w:val="32"/>
          <w:szCs w:val="32"/>
          <w:highlight w:val="none"/>
          <w:lang w:val="en-US" w:eastAsia="zh-CN"/>
        </w:rPr>
        <w:t>。深化紧密型县域医共体医保总额付费管理</w:t>
      </w:r>
      <w:r>
        <w:rPr>
          <w:rFonts w:hint="eastAsia" w:ascii="仿宋_GB2312" w:hAnsi="仿宋_GB2312" w:eastAsia="仿宋_GB2312" w:cs="仿宋_GB2312"/>
          <w:color w:val="auto"/>
          <w:sz w:val="32"/>
          <w:szCs w:val="32"/>
          <w:highlight w:val="none"/>
          <w:lang w:val="en-US" w:eastAsia="zh-CN"/>
        </w:rPr>
        <w:t>。对中医医疗机构牵头组建的紧密型县域医共体在总额上适当倾斜</w:t>
      </w:r>
      <w:r>
        <w:rPr>
          <w:rFonts w:hint="default" w:ascii="仿宋_GB2312" w:hAnsi="仿宋_GB2312" w:eastAsia="仿宋_GB2312" w:cs="仿宋_GB2312"/>
          <w:color w:val="auto"/>
          <w:sz w:val="32"/>
          <w:szCs w:val="32"/>
          <w:highlight w:val="none"/>
          <w:lang w:val="en-US" w:eastAsia="zh-CN"/>
        </w:rPr>
        <w:t>。健全</w:t>
      </w:r>
      <w:r>
        <w:rPr>
          <w:rFonts w:hint="eastAsia" w:ascii="仿宋_GB2312" w:hAnsi="仿宋_GB2312" w:eastAsia="仿宋_GB2312" w:cs="仿宋_GB2312"/>
          <w:color w:val="auto"/>
          <w:sz w:val="32"/>
          <w:szCs w:val="32"/>
          <w:highlight w:val="none"/>
          <w:lang w:val="en-US" w:eastAsia="zh-CN"/>
        </w:rPr>
        <w:t>按病种付费结余留用、合理超支分担机制。</w:t>
      </w:r>
    </w:p>
    <w:p w14:paraId="47DA357C">
      <w:pPr>
        <w:pStyle w:val="5"/>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both"/>
        <w:textAlignment w:val="auto"/>
        <w:outlineLvl w:val="1"/>
        <w:rPr>
          <w:rFonts w:hint="eastAsia" w:ascii="宋体" w:hAnsi="宋体" w:eastAsia="楷体_GB2312" w:cs="Times New Roman"/>
          <w:b w:val="0"/>
          <w:bCs/>
          <w:color w:val="auto"/>
          <w:sz w:val="32"/>
          <w:szCs w:val="36"/>
          <w:highlight w:val="none"/>
          <w:lang w:eastAsia="zh-CN" w:bidi="ar"/>
        </w:rPr>
      </w:pPr>
      <w:bookmarkStart w:id="759" w:name="_Toc21625"/>
      <w:bookmarkStart w:id="760" w:name="_Toc10033"/>
      <w:bookmarkStart w:id="761" w:name="_Toc15520"/>
      <w:bookmarkStart w:id="762" w:name="_Toc22861"/>
      <w:bookmarkStart w:id="763" w:name="_Toc29923"/>
      <w:bookmarkStart w:id="764" w:name="_Toc16679"/>
      <w:bookmarkStart w:id="765" w:name="_Toc4090"/>
      <w:bookmarkStart w:id="766" w:name="_Toc31363"/>
      <w:bookmarkStart w:id="767" w:name="_Toc14419"/>
      <w:bookmarkStart w:id="768" w:name="_Toc821"/>
      <w:bookmarkStart w:id="769" w:name="_Toc10960"/>
      <w:bookmarkStart w:id="770" w:name="_Toc23529"/>
      <w:bookmarkStart w:id="771" w:name="_Toc13979"/>
      <w:bookmarkStart w:id="772" w:name="_Toc1547"/>
      <w:bookmarkStart w:id="773" w:name="_Toc10823"/>
      <w:bookmarkStart w:id="774" w:name="_Toc19779"/>
      <w:bookmarkStart w:id="775" w:name="_Toc15628"/>
      <w:bookmarkStart w:id="776" w:name="_Toc17193"/>
      <w:bookmarkStart w:id="777" w:name="_Toc12552"/>
      <w:bookmarkStart w:id="778" w:name="_Toc26368"/>
      <w:bookmarkStart w:id="779" w:name="_Toc2130"/>
      <w:bookmarkStart w:id="780" w:name="_Toc17818"/>
      <w:bookmarkStart w:id="781" w:name="_Toc21892"/>
      <w:bookmarkStart w:id="782" w:name="_Toc24048"/>
      <w:bookmarkStart w:id="783" w:name="_Toc18575"/>
      <w:bookmarkStart w:id="784" w:name="_Toc12870"/>
      <w:bookmarkStart w:id="785" w:name="_Toc32597"/>
      <w:bookmarkStart w:id="786" w:name="_Toc17877"/>
      <w:bookmarkStart w:id="787" w:name="_Toc28725"/>
      <w:bookmarkStart w:id="788" w:name="_Toc7136"/>
      <w:bookmarkStart w:id="789" w:name="_Toc24344"/>
      <w:bookmarkStart w:id="790" w:name="_Toc15052"/>
      <w:bookmarkStart w:id="791" w:name="_Toc18605"/>
      <w:bookmarkStart w:id="792" w:name="_Toc7369"/>
      <w:bookmarkStart w:id="793" w:name="_Toc19715"/>
      <w:bookmarkStart w:id="794" w:name="_Toc30413"/>
      <w:bookmarkStart w:id="795" w:name="_Toc25309"/>
      <w:bookmarkStart w:id="796" w:name="_Toc4998"/>
      <w:bookmarkStart w:id="797" w:name="_Toc5928"/>
      <w:bookmarkStart w:id="798" w:name="_Toc22468"/>
      <w:bookmarkStart w:id="799" w:name="_Toc20720"/>
      <w:bookmarkStart w:id="800" w:name="_Toc31959"/>
      <w:bookmarkStart w:id="801" w:name="_Toc29807"/>
      <w:bookmarkStart w:id="802" w:name="_Toc25724"/>
      <w:bookmarkStart w:id="803" w:name="_Toc26317"/>
      <w:bookmarkStart w:id="804" w:name="_Toc7069"/>
      <w:bookmarkStart w:id="805" w:name="_Toc12393"/>
      <w:bookmarkStart w:id="806" w:name="_Toc17902"/>
      <w:bookmarkStart w:id="807" w:name="_Toc25793"/>
      <w:bookmarkStart w:id="808" w:name="_Toc10842"/>
      <w:bookmarkStart w:id="809" w:name="_Toc5215"/>
      <w:bookmarkStart w:id="810" w:name="_Toc10426"/>
      <w:bookmarkStart w:id="811" w:name="_Toc28843"/>
      <w:bookmarkStart w:id="812" w:name="_Toc23149"/>
      <w:bookmarkStart w:id="813" w:name="_Toc15157"/>
      <w:bookmarkStart w:id="814" w:name="_Toc14876"/>
      <w:bookmarkStart w:id="815" w:name="_Toc2451"/>
      <w:bookmarkStart w:id="816" w:name="_Toc28891"/>
      <w:r>
        <w:rPr>
          <w:rFonts w:hint="eastAsia" w:ascii="宋体" w:hAnsi="宋体" w:eastAsia="楷体_GB2312" w:cs="Times New Roman"/>
          <w:b w:val="0"/>
          <w:bCs/>
          <w:color w:val="auto"/>
          <w:sz w:val="32"/>
          <w:szCs w:val="36"/>
          <w:highlight w:val="none"/>
          <w:lang w:val="en-US" w:eastAsia="zh-CN" w:bidi="ar"/>
        </w:rPr>
        <w:t>（十一）推进医疗服务价格改革</w:t>
      </w:r>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p>
    <w:bookmarkEnd w:id="692"/>
    <w:bookmarkEnd w:id="693"/>
    <w:p w14:paraId="4C091CD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color w:val="auto"/>
          <w:sz w:val="32"/>
          <w:szCs w:val="32"/>
          <w:highlight w:val="none"/>
          <w:lang w:val="en-US" w:eastAsia="zh-CN"/>
        </w:rPr>
      </w:pPr>
      <w:bookmarkStart w:id="817" w:name="_Toc9884"/>
      <w:bookmarkStart w:id="818" w:name="_Toc15549"/>
      <w:r>
        <w:rPr>
          <w:rFonts w:hint="default" w:ascii="仿宋_GB2312" w:hAnsi="仿宋_GB2312" w:eastAsia="仿宋_GB2312" w:cs="仿宋_GB2312"/>
          <w:color w:val="auto"/>
          <w:sz w:val="32"/>
          <w:szCs w:val="32"/>
          <w:highlight w:val="none"/>
          <w:lang w:val="en-US" w:eastAsia="zh-CN"/>
        </w:rPr>
        <w:t>严格落实国家医疗服务价格项目立项指南，统一规范全省医疗服务价格项目立项、定价管理。</w:t>
      </w:r>
      <w:r>
        <w:rPr>
          <w:rFonts w:hint="eastAsia" w:ascii="仿宋_GB2312" w:hAnsi="仿宋_GB2312" w:eastAsia="仿宋_GB2312" w:cs="仿宋_GB2312"/>
          <w:color w:val="auto"/>
          <w:sz w:val="32"/>
          <w:szCs w:val="32"/>
          <w:highlight w:val="none"/>
          <w:lang w:val="en-US" w:eastAsia="zh-CN"/>
        </w:rPr>
        <w:t>常态化运行</w:t>
      </w:r>
      <w:r>
        <w:rPr>
          <w:rFonts w:hint="default" w:ascii="仿宋_GB2312" w:hAnsi="仿宋_GB2312" w:eastAsia="仿宋_GB2312" w:cs="仿宋_GB2312"/>
          <w:color w:val="auto"/>
          <w:sz w:val="32"/>
          <w:szCs w:val="32"/>
          <w:highlight w:val="none"/>
          <w:lang w:val="en-US" w:eastAsia="zh-CN"/>
        </w:rPr>
        <w:t>医疗服务价格动态调整机制，完善调价综合评估指标体系，充分体现医疗服务技术劳务价值，保障价格调整的科学性、合理性、可操作性。优化新增医疗服务价格项目审批流程，支持具身机器人、脑机接口等创新技术临床落地应用。</w:t>
      </w:r>
      <w:r>
        <w:rPr>
          <w:rFonts w:hint="eastAsia" w:ascii="仿宋_GB2312" w:hAnsi="仿宋_GB2312" w:eastAsia="仿宋_GB2312" w:cs="仿宋_GB2312"/>
          <w:color w:val="auto"/>
          <w:sz w:val="32"/>
          <w:szCs w:val="32"/>
          <w:highlight w:val="none"/>
          <w:lang w:val="en-US" w:eastAsia="zh-CN"/>
        </w:rPr>
        <w:t>落实国家特需医疗、国际医疗服务价格政策。</w:t>
      </w:r>
    </w:p>
    <w:p w14:paraId="7C55A07C">
      <w:pPr>
        <w:pStyle w:val="5"/>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both"/>
        <w:textAlignment w:val="auto"/>
        <w:outlineLvl w:val="1"/>
        <w:rPr>
          <w:rFonts w:hint="default" w:ascii="宋体" w:hAnsi="宋体" w:eastAsia="楷体_GB2312" w:cs="Times New Roman"/>
          <w:b w:val="0"/>
          <w:bCs/>
          <w:color w:val="auto"/>
          <w:sz w:val="32"/>
          <w:szCs w:val="36"/>
          <w:highlight w:val="none"/>
          <w:lang w:val="en-US" w:eastAsia="zh-CN" w:bidi="ar"/>
        </w:rPr>
      </w:pPr>
      <w:bookmarkStart w:id="819" w:name="_Toc3467"/>
      <w:bookmarkStart w:id="820" w:name="_Toc21321"/>
      <w:bookmarkStart w:id="821" w:name="_Toc5563"/>
      <w:bookmarkStart w:id="822" w:name="_Toc3039"/>
      <w:bookmarkStart w:id="823" w:name="_Toc30935"/>
      <w:bookmarkStart w:id="824" w:name="_Toc21794"/>
      <w:bookmarkStart w:id="825" w:name="_Toc1018"/>
      <w:bookmarkStart w:id="826" w:name="_Toc24780"/>
      <w:bookmarkStart w:id="827" w:name="_Toc24909"/>
      <w:bookmarkStart w:id="828" w:name="_Toc10462"/>
      <w:bookmarkStart w:id="829" w:name="_Toc21709"/>
      <w:bookmarkStart w:id="830" w:name="_Toc20998"/>
      <w:bookmarkStart w:id="831" w:name="_Toc2090"/>
      <w:bookmarkStart w:id="832" w:name="_Toc5301"/>
      <w:bookmarkStart w:id="833" w:name="_Toc27996"/>
      <w:bookmarkStart w:id="834" w:name="_Toc170"/>
      <w:bookmarkStart w:id="835" w:name="_Toc30254"/>
      <w:bookmarkStart w:id="836" w:name="_Toc1365"/>
      <w:bookmarkStart w:id="837" w:name="_Toc14780"/>
      <w:bookmarkStart w:id="838" w:name="_Toc29100"/>
      <w:bookmarkStart w:id="839" w:name="_Toc32632"/>
      <w:bookmarkStart w:id="840" w:name="_Toc10284"/>
      <w:bookmarkStart w:id="841" w:name="_Toc8626"/>
      <w:bookmarkStart w:id="842" w:name="_Toc12880"/>
      <w:bookmarkStart w:id="843" w:name="_Toc2000"/>
      <w:bookmarkStart w:id="844" w:name="_Toc25978"/>
      <w:bookmarkStart w:id="845" w:name="_Toc17835"/>
      <w:r>
        <w:rPr>
          <w:rFonts w:hint="default" w:ascii="宋体" w:hAnsi="宋体" w:eastAsia="楷体_GB2312" w:cs="Times New Roman"/>
          <w:b w:val="0"/>
          <w:bCs/>
          <w:color w:val="auto"/>
          <w:sz w:val="32"/>
          <w:szCs w:val="36"/>
          <w:highlight w:val="none"/>
          <w:lang w:eastAsia="zh-CN" w:bidi="ar"/>
        </w:rPr>
        <w:t>（</w:t>
      </w:r>
      <w:r>
        <w:rPr>
          <w:rFonts w:hint="eastAsia" w:ascii="宋体" w:hAnsi="宋体" w:eastAsia="楷体_GB2312" w:cs="Times New Roman"/>
          <w:b w:val="0"/>
          <w:bCs/>
          <w:color w:val="auto"/>
          <w:sz w:val="32"/>
          <w:szCs w:val="36"/>
          <w:highlight w:val="none"/>
          <w:lang w:val="en-US" w:eastAsia="zh-CN" w:bidi="ar"/>
        </w:rPr>
        <w:t>十二</w:t>
      </w:r>
      <w:r>
        <w:rPr>
          <w:rFonts w:hint="default" w:ascii="宋体" w:hAnsi="宋体" w:eastAsia="楷体_GB2312" w:cs="Times New Roman"/>
          <w:b w:val="0"/>
          <w:bCs/>
          <w:color w:val="auto"/>
          <w:sz w:val="32"/>
          <w:szCs w:val="36"/>
          <w:highlight w:val="none"/>
          <w:lang w:eastAsia="zh-CN" w:bidi="ar"/>
        </w:rPr>
        <w:t>）加强药品耗材价格综合治理</w:t>
      </w:r>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p>
    <w:bookmarkEnd w:id="845"/>
    <w:p w14:paraId="31E40D1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完善药品耗材价格形成机制，统一规范挂网规则与服务流程，推进药品耗材挂网采购标准化、规范化建设，落实医药价格和招采信用评价制度。深化医药价格监测预警体系建设，建立医药机构价格信息监测、共享与公开发布机制，完善常态化多渠道比价机制，依托医药机构量价比较指数监测平台，构建“监测—分析—评价—应用”闭环治理体系。</w:t>
      </w:r>
    </w:p>
    <w:p w14:paraId="4634CA42">
      <w:pPr>
        <w:pStyle w:val="2"/>
        <w:rPr>
          <w:rFonts w:hint="eastAsia" w:ascii="仿宋_GB2312" w:hAnsi="仿宋_GB2312" w:eastAsia="仿宋_GB2312" w:cs="仿宋_GB2312"/>
          <w:color w:val="auto"/>
          <w:sz w:val="32"/>
          <w:szCs w:val="32"/>
          <w:highlight w:val="none"/>
          <w:lang w:val="en-US" w:eastAsia="zh-CN"/>
        </w:rPr>
      </w:pPr>
    </w:p>
    <w:p w14:paraId="033FBDA8">
      <w:pPr>
        <w:pStyle w:val="3"/>
        <w:rPr>
          <w:rFonts w:hint="eastAsia" w:ascii="仿宋_GB2312" w:hAnsi="仿宋_GB2312" w:eastAsia="仿宋_GB2312" w:cs="仿宋_GB2312"/>
          <w:color w:val="auto"/>
          <w:sz w:val="32"/>
          <w:szCs w:val="32"/>
          <w:highlight w:val="none"/>
          <w:lang w:val="en-US" w:eastAsia="zh-CN"/>
        </w:rPr>
      </w:pPr>
    </w:p>
    <w:p w14:paraId="68C8400F">
      <w:pPr>
        <w:rPr>
          <w:rFonts w:hint="eastAsia" w:ascii="仿宋_GB2312" w:hAnsi="仿宋_GB2312" w:eastAsia="仿宋_GB2312" w:cs="仿宋_GB2312"/>
          <w:color w:val="auto"/>
          <w:sz w:val="32"/>
          <w:szCs w:val="32"/>
          <w:highlight w:val="none"/>
          <w:lang w:val="en-US" w:eastAsia="zh-CN"/>
        </w:rPr>
      </w:pPr>
    </w:p>
    <w:p w14:paraId="5A48AB68">
      <w:pPr>
        <w:pStyle w:val="2"/>
        <w:rPr>
          <w:rFonts w:hint="eastAsia"/>
          <w:lang w:val="en-US" w:eastAsia="zh-CN"/>
        </w:rPr>
      </w:pPr>
    </w:p>
    <w:bookmarkEnd w:id="817"/>
    <w:bookmarkEnd w:id="818"/>
    <w:tbl>
      <w:tblPr>
        <w:tblStyle w:val="15"/>
        <w:tblW w:w="5000" w:type="pct"/>
        <w:jc w:val="center"/>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autofit"/>
        <w:tblCellMar>
          <w:top w:w="0" w:type="dxa"/>
          <w:left w:w="0" w:type="dxa"/>
          <w:bottom w:w="0" w:type="dxa"/>
          <w:right w:w="0" w:type="dxa"/>
        </w:tblCellMar>
      </w:tblPr>
      <w:tblGrid>
        <w:gridCol w:w="9061"/>
      </w:tblGrid>
      <w:tr w14:paraId="40C9B4DD">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397" w:hRule="atLeast"/>
          <w:jc w:val="center"/>
        </w:trPr>
        <w:tc>
          <w:tcPr>
            <w:tcW w:w="5000" w:type="pct"/>
            <w:tcBorders>
              <w:top w:val="single" w:color="auto" w:sz="4" w:space="0"/>
              <w:left w:val="single" w:color="auto" w:sz="4" w:space="0"/>
              <w:bottom w:val="single" w:color="auto" w:sz="4" w:space="0"/>
              <w:right w:val="single" w:color="auto" w:sz="4" w:space="0"/>
            </w:tcBorders>
            <w:noWrap w:val="0"/>
            <w:tcMar>
              <w:left w:w="108" w:type="dxa"/>
              <w:right w:w="108" w:type="dxa"/>
            </w:tcMar>
            <w:vAlign w:val="top"/>
          </w:tcPr>
          <w:p w14:paraId="09523CA6">
            <w:pPr>
              <w:pStyle w:val="18"/>
              <w:keepNext w:val="0"/>
              <w:keepLines w:val="0"/>
              <w:suppressLineNumbers w:val="0"/>
              <w:shd w:val="clear" w:color="auto" w:fill="FFFFFF"/>
              <w:spacing w:before="0" w:beforeAutospacing="0" w:after="0" w:afterAutospacing="0"/>
              <w:ind w:left="0" w:right="0" w:firstLineChars="200"/>
              <w:jc w:val="center"/>
              <w:outlineLvl w:val="9"/>
              <w:rPr>
                <w:rFonts w:hint="default" w:ascii="Times New Roman" w:hAnsi="Times New Roman" w:eastAsia="黑体" w:cs="Times New Roman"/>
                <w:snapToGrid w:val="0"/>
                <w:color w:val="auto"/>
                <w:sz w:val="24"/>
                <w:highlight w:val="none"/>
                <w:lang w:val="en-US" w:eastAsia="zh-CN" w:bidi="ar"/>
              </w:rPr>
            </w:pPr>
            <w:r>
              <w:rPr>
                <w:rFonts w:hint="default" w:ascii="Times New Roman" w:hAnsi="Times New Roman" w:eastAsia="黑体" w:cs="Times New Roman"/>
                <w:color w:val="auto"/>
                <w:kern w:val="0"/>
                <w:sz w:val="28"/>
                <w:szCs w:val="28"/>
                <w:highlight w:val="none"/>
                <w:lang w:bidi="ar"/>
              </w:rPr>
              <w:t>专栏</w:t>
            </w:r>
            <w:r>
              <w:rPr>
                <w:rFonts w:hint="default" w:ascii="Times New Roman" w:hAnsi="Times New Roman" w:eastAsia="黑体" w:cs="Times New Roman"/>
                <w:color w:val="auto"/>
                <w:kern w:val="0"/>
                <w:sz w:val="28"/>
                <w:szCs w:val="28"/>
                <w:highlight w:val="none"/>
                <w:lang w:val="en-US" w:eastAsia="zh-CN" w:bidi="ar"/>
              </w:rPr>
              <w:t>2</w:t>
            </w:r>
            <w:r>
              <w:rPr>
                <w:rFonts w:hint="default" w:ascii="Times New Roman" w:hAnsi="Times New Roman" w:eastAsia="黑体" w:cs="Times New Roman"/>
                <w:color w:val="auto"/>
                <w:kern w:val="0"/>
                <w:sz w:val="28"/>
                <w:szCs w:val="28"/>
                <w:highlight w:val="none"/>
                <w:lang w:bidi="ar"/>
              </w:rPr>
              <w:t xml:space="preserve">  </w:t>
            </w:r>
            <w:r>
              <w:rPr>
                <w:rFonts w:hint="default" w:ascii="Times New Roman" w:hAnsi="Times New Roman" w:eastAsia="黑体" w:cs="Times New Roman"/>
                <w:color w:val="auto"/>
                <w:kern w:val="0"/>
                <w:sz w:val="28"/>
                <w:szCs w:val="28"/>
                <w:highlight w:val="none"/>
                <w:lang w:val="en-US" w:eastAsia="zh-CN" w:bidi="ar"/>
              </w:rPr>
              <w:t>提升群众购药体验</w:t>
            </w:r>
          </w:p>
        </w:tc>
      </w:tr>
      <w:tr w14:paraId="158771D2">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2163" w:hRule="atLeast"/>
          <w:jc w:val="center"/>
        </w:trPr>
        <w:tc>
          <w:tcPr>
            <w:tcW w:w="5000" w:type="pct"/>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7B0B14E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firstLine="420" w:firstLineChars="200"/>
              <w:jc w:val="both"/>
              <w:textAlignment w:val="auto"/>
              <w:rPr>
                <w:rFonts w:hint="default"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1.升级智能化比价工具，开发专有比价AI模型，实现语音交互查询服务。支持药品信息查询、价格比对及药店导航功能，助力群众透明消费、明白购药。</w:t>
            </w:r>
          </w:p>
          <w:p w14:paraId="2A1013F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firstLine="420" w:firstLineChars="200"/>
              <w:jc w:val="both"/>
              <w:textAlignment w:val="auto"/>
              <w:rPr>
                <w:rFonts w:hint="default" w:ascii="Times New Roman" w:hAnsi="Times New Roman" w:eastAsia="宋体" w:cs="Times New Roman"/>
                <w:snapToGrid w:val="0"/>
                <w:color w:val="auto"/>
                <w:sz w:val="24"/>
                <w:highlight w:val="none"/>
                <w:lang w:val="en-US" w:eastAsia="zh-CN" w:bidi="ar"/>
              </w:rPr>
            </w:pPr>
            <w:r>
              <w:rPr>
                <w:rFonts w:hint="eastAsia" w:ascii="宋体" w:hAnsi="宋体" w:eastAsia="宋体" w:cs="宋体"/>
                <w:color w:val="auto"/>
                <w:kern w:val="0"/>
                <w:sz w:val="21"/>
                <w:szCs w:val="21"/>
                <w:highlight w:val="none"/>
                <w:lang w:val="en-US" w:eastAsia="zh-CN" w:bidi="ar"/>
              </w:rPr>
              <w:t>2.升级医保药品云平台，集成医保地图、药品生产、外配处方、在线购药、药品库存、销售流通、药品配送、使用说明等功能，实现智能寻药、购药、配药、送药，并为完善医保药品支付管理提供基础。</w:t>
            </w:r>
          </w:p>
        </w:tc>
      </w:tr>
    </w:tbl>
    <w:p w14:paraId="2A0F0BE9">
      <w:pPr>
        <w:pStyle w:val="5"/>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both"/>
        <w:textAlignment w:val="auto"/>
        <w:outlineLvl w:val="1"/>
        <w:rPr>
          <w:rFonts w:hint="default" w:ascii="宋体" w:hAnsi="宋体" w:eastAsia="楷体_GB2312" w:cs="Times New Roman"/>
          <w:b w:val="0"/>
          <w:bCs/>
          <w:color w:val="auto"/>
          <w:sz w:val="32"/>
          <w:szCs w:val="36"/>
          <w:highlight w:val="none"/>
          <w:lang w:eastAsia="zh-CN" w:bidi="ar"/>
        </w:rPr>
      </w:pPr>
      <w:bookmarkStart w:id="846" w:name="_Toc20347"/>
      <w:bookmarkStart w:id="847" w:name="_Toc496"/>
      <w:bookmarkStart w:id="848" w:name="_Toc27656"/>
      <w:bookmarkStart w:id="849" w:name="_Toc23237"/>
      <w:bookmarkStart w:id="850" w:name="_Toc23997"/>
      <w:bookmarkStart w:id="851" w:name="_Toc11276"/>
      <w:bookmarkStart w:id="852" w:name="_Toc16781"/>
      <w:bookmarkStart w:id="853" w:name="_Toc25201"/>
      <w:bookmarkStart w:id="854" w:name="_Toc27333"/>
      <w:bookmarkStart w:id="855" w:name="_Toc5872"/>
      <w:bookmarkStart w:id="856" w:name="_Toc14474"/>
      <w:bookmarkStart w:id="857" w:name="_Toc2634"/>
      <w:bookmarkStart w:id="858" w:name="_Toc20863"/>
      <w:bookmarkStart w:id="859" w:name="_Toc32044"/>
      <w:bookmarkStart w:id="860" w:name="_Toc28775"/>
      <w:bookmarkStart w:id="861" w:name="_Toc31573"/>
      <w:bookmarkStart w:id="862" w:name="_Toc27959"/>
      <w:bookmarkStart w:id="863" w:name="_Toc20274"/>
      <w:bookmarkStart w:id="864" w:name="_Toc23663"/>
      <w:bookmarkStart w:id="865" w:name="_Toc9079"/>
      <w:bookmarkStart w:id="866" w:name="_Toc22076"/>
      <w:bookmarkStart w:id="867" w:name="_Toc5909"/>
      <w:bookmarkStart w:id="868" w:name="_Toc24849"/>
      <w:bookmarkStart w:id="869" w:name="_Toc23831"/>
      <w:bookmarkStart w:id="870" w:name="_Toc2293"/>
      <w:bookmarkStart w:id="871" w:name="_Toc15632"/>
      <w:bookmarkStart w:id="872" w:name="_Toc11153"/>
      <w:bookmarkStart w:id="873" w:name="_Toc17513"/>
      <w:bookmarkStart w:id="874" w:name="_Toc11349"/>
      <w:bookmarkStart w:id="875" w:name="_Toc12004"/>
      <w:bookmarkStart w:id="876" w:name="_Toc16358"/>
      <w:bookmarkStart w:id="877" w:name="_Toc31711"/>
      <w:bookmarkStart w:id="878" w:name="_Toc8283"/>
      <w:r>
        <w:rPr>
          <w:rFonts w:hint="default" w:ascii="宋体" w:hAnsi="宋体" w:eastAsia="楷体_GB2312" w:cs="Times New Roman"/>
          <w:b w:val="0"/>
          <w:bCs/>
          <w:color w:val="auto"/>
          <w:sz w:val="32"/>
          <w:szCs w:val="36"/>
          <w:highlight w:val="none"/>
          <w:lang w:eastAsia="zh-CN" w:bidi="ar"/>
        </w:rPr>
        <w:t>（</w:t>
      </w:r>
      <w:r>
        <w:rPr>
          <w:rFonts w:hint="eastAsia" w:ascii="宋体" w:hAnsi="宋体" w:eastAsia="楷体_GB2312" w:cs="Times New Roman"/>
          <w:b w:val="0"/>
          <w:bCs/>
          <w:color w:val="auto"/>
          <w:sz w:val="32"/>
          <w:szCs w:val="36"/>
          <w:highlight w:val="none"/>
          <w:lang w:val="en-US" w:eastAsia="zh-CN" w:bidi="ar"/>
        </w:rPr>
        <w:t>十三</w:t>
      </w:r>
      <w:r>
        <w:rPr>
          <w:rFonts w:hint="default" w:ascii="宋体" w:hAnsi="宋体" w:eastAsia="楷体_GB2312" w:cs="Times New Roman"/>
          <w:b w:val="0"/>
          <w:bCs/>
          <w:color w:val="auto"/>
          <w:sz w:val="32"/>
          <w:szCs w:val="36"/>
          <w:highlight w:val="none"/>
          <w:lang w:eastAsia="zh-CN" w:bidi="ar"/>
        </w:rPr>
        <w:t>）落实药品耗材集采机制</w:t>
      </w:r>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p>
    <w:p w14:paraId="437BF3F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color w:val="auto"/>
          <w:sz w:val="32"/>
          <w:szCs w:val="32"/>
          <w:highlight w:val="none"/>
          <w:lang w:val="en-US" w:eastAsia="zh-CN"/>
        </w:rPr>
      </w:pPr>
      <w:r>
        <w:rPr>
          <w:rFonts w:hint="default" w:ascii="仿宋_GB2312" w:hAnsi="仿宋_GB2312" w:eastAsia="仿宋_GB2312" w:cs="仿宋_GB2312"/>
          <w:color w:val="auto"/>
          <w:sz w:val="32"/>
          <w:szCs w:val="32"/>
          <w:highlight w:val="none"/>
          <w:lang w:val="en-US" w:eastAsia="zh-CN"/>
        </w:rPr>
        <w:t>承接国家、省际联盟集中带量采购任务，优先遴选临床用量大、采购金额高、市场竞争充分的品种实施集中</w:t>
      </w:r>
      <w:r>
        <w:rPr>
          <w:rFonts w:hint="eastAsia" w:ascii="仿宋_GB2312" w:hAnsi="仿宋_GB2312" w:eastAsia="仿宋_GB2312" w:cs="仿宋_GB2312"/>
          <w:color w:val="auto"/>
          <w:sz w:val="32"/>
          <w:szCs w:val="32"/>
          <w:highlight w:val="none"/>
          <w:lang w:val="en-US" w:eastAsia="zh-CN"/>
        </w:rPr>
        <w:t>带量</w:t>
      </w:r>
      <w:r>
        <w:rPr>
          <w:rFonts w:hint="default" w:ascii="仿宋_GB2312" w:hAnsi="仿宋_GB2312" w:eastAsia="仿宋_GB2312" w:cs="仿宋_GB2312"/>
          <w:color w:val="auto"/>
          <w:sz w:val="32"/>
          <w:szCs w:val="32"/>
          <w:highlight w:val="none"/>
          <w:lang w:val="en-US" w:eastAsia="zh-CN"/>
        </w:rPr>
        <w:t>采购，持续推</w:t>
      </w:r>
      <w:r>
        <w:rPr>
          <w:rFonts w:hint="eastAsia" w:ascii="仿宋_GB2312" w:hAnsi="仿宋_GB2312" w:eastAsia="仿宋_GB2312" w:cs="仿宋_GB2312"/>
          <w:color w:val="auto"/>
          <w:sz w:val="32"/>
          <w:szCs w:val="32"/>
          <w:highlight w:val="none"/>
          <w:lang w:val="en-US" w:eastAsia="zh-CN"/>
        </w:rPr>
        <w:t>进</w:t>
      </w:r>
      <w:r>
        <w:rPr>
          <w:rFonts w:hint="default" w:ascii="仿宋_GB2312" w:hAnsi="仿宋_GB2312" w:eastAsia="仿宋_GB2312" w:cs="仿宋_GB2312"/>
          <w:color w:val="auto"/>
          <w:sz w:val="32"/>
          <w:szCs w:val="32"/>
          <w:highlight w:val="none"/>
          <w:lang w:val="en-US" w:eastAsia="zh-CN"/>
        </w:rPr>
        <w:t>集采提质扩面</w:t>
      </w:r>
      <w:r>
        <w:rPr>
          <w:rFonts w:hint="eastAsia" w:ascii="仿宋_GB2312" w:hAnsi="仿宋_GB2312" w:eastAsia="仿宋_GB2312" w:cs="仿宋_GB2312"/>
          <w:color w:val="auto"/>
          <w:sz w:val="32"/>
          <w:szCs w:val="32"/>
          <w:highlight w:val="none"/>
          <w:lang w:val="en-US" w:eastAsia="zh-CN"/>
        </w:rPr>
        <w:t>。强化药品耗材集中带量采购执行，协同行业主管部门加强医疗机构报量和履约情况监管，推动</w:t>
      </w:r>
      <w:r>
        <w:rPr>
          <w:rFonts w:hint="default" w:ascii="仿宋_GB2312" w:hAnsi="仿宋_GB2312" w:eastAsia="仿宋_GB2312" w:cs="仿宋_GB2312"/>
          <w:color w:val="auto"/>
          <w:sz w:val="32"/>
          <w:szCs w:val="32"/>
          <w:highlight w:val="none"/>
          <w:lang w:val="en-US" w:eastAsia="zh-CN"/>
        </w:rPr>
        <w:t>公立医疗机构</w:t>
      </w:r>
      <w:r>
        <w:rPr>
          <w:rFonts w:hint="eastAsia" w:ascii="仿宋_GB2312" w:hAnsi="仿宋_GB2312" w:eastAsia="仿宋_GB2312" w:cs="仿宋_GB2312"/>
          <w:color w:val="auto"/>
          <w:sz w:val="32"/>
          <w:szCs w:val="32"/>
          <w:highlight w:val="none"/>
          <w:lang w:val="en-US" w:eastAsia="zh-CN"/>
        </w:rPr>
        <w:t>落实网采</w:t>
      </w:r>
      <w:r>
        <w:rPr>
          <w:rFonts w:hint="default" w:ascii="仿宋_GB2312" w:hAnsi="仿宋_GB2312" w:eastAsia="仿宋_GB2312" w:cs="仿宋_GB2312"/>
          <w:color w:val="auto"/>
          <w:sz w:val="32"/>
          <w:szCs w:val="32"/>
          <w:highlight w:val="none"/>
          <w:lang w:val="en-US" w:eastAsia="zh-CN"/>
        </w:rPr>
        <w:t>责任。研究推进医保与医药企业直接结算</w:t>
      </w:r>
      <w:r>
        <w:rPr>
          <w:rFonts w:hint="eastAsia" w:ascii="仿宋_GB2312" w:hAnsi="仿宋_GB2312" w:eastAsia="仿宋_GB2312" w:cs="仿宋_GB2312"/>
          <w:color w:val="auto"/>
          <w:sz w:val="32"/>
          <w:szCs w:val="32"/>
          <w:highlight w:val="none"/>
          <w:lang w:val="en-US" w:eastAsia="zh-CN"/>
        </w:rPr>
        <w:t>。</w:t>
      </w:r>
      <w:r>
        <w:rPr>
          <w:rFonts w:hint="default" w:ascii="仿宋_GB2312" w:hAnsi="仿宋_GB2312" w:eastAsia="仿宋_GB2312" w:cs="仿宋_GB2312"/>
          <w:color w:val="auto"/>
          <w:sz w:val="32"/>
          <w:szCs w:val="32"/>
          <w:highlight w:val="none"/>
          <w:lang w:val="en-US" w:eastAsia="zh-CN"/>
        </w:rPr>
        <w:t>推动中选药品向基层医疗机构、民营医疗机构、零售药店延伸，不断扩大集采改革惠及范围。</w:t>
      </w:r>
    </w:p>
    <w:bookmarkEnd w:id="869"/>
    <w:bookmarkEnd w:id="870"/>
    <w:p w14:paraId="22C771BE">
      <w:pPr>
        <w:pStyle w:val="5"/>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both"/>
        <w:textAlignment w:val="auto"/>
        <w:outlineLvl w:val="1"/>
        <w:rPr>
          <w:rFonts w:hint="default" w:ascii="宋体" w:hAnsi="宋体" w:eastAsia="楷体_GB2312" w:cs="Times New Roman"/>
          <w:b w:val="0"/>
          <w:bCs/>
          <w:color w:val="auto"/>
          <w:sz w:val="32"/>
          <w:szCs w:val="36"/>
          <w:highlight w:val="none"/>
          <w:lang w:val="en-US" w:eastAsia="zh-CN" w:bidi="ar"/>
        </w:rPr>
      </w:pPr>
      <w:bookmarkStart w:id="879" w:name="_Toc31255"/>
      <w:bookmarkStart w:id="880" w:name="_Toc10810"/>
      <w:bookmarkStart w:id="881" w:name="_Toc5114"/>
      <w:bookmarkStart w:id="882" w:name="_Toc30293"/>
      <w:bookmarkStart w:id="883" w:name="_Toc4639"/>
      <w:bookmarkStart w:id="884" w:name="_Toc6150"/>
      <w:bookmarkStart w:id="885" w:name="_Toc7410"/>
      <w:bookmarkStart w:id="886" w:name="_Toc17317"/>
      <w:bookmarkStart w:id="887" w:name="_Toc8855"/>
      <w:bookmarkStart w:id="888" w:name="_Toc22469"/>
      <w:bookmarkStart w:id="889" w:name="_Toc18581"/>
      <w:bookmarkStart w:id="890" w:name="_Toc8694"/>
      <w:bookmarkStart w:id="891" w:name="_Toc6733"/>
      <w:bookmarkStart w:id="892" w:name="_Toc20283"/>
      <w:bookmarkStart w:id="893" w:name="_Toc21250"/>
      <w:bookmarkStart w:id="894" w:name="_Toc3083"/>
      <w:bookmarkStart w:id="895" w:name="_Toc4077"/>
      <w:bookmarkStart w:id="896" w:name="_Toc30035"/>
      <w:bookmarkStart w:id="897" w:name="_Toc4046"/>
      <w:bookmarkStart w:id="898" w:name="_Toc3081"/>
      <w:bookmarkStart w:id="899" w:name="_Toc15098"/>
      <w:bookmarkStart w:id="900" w:name="_Toc19384"/>
      <w:bookmarkStart w:id="901" w:name="_Toc28522"/>
      <w:bookmarkStart w:id="902" w:name="_Toc20196"/>
      <w:bookmarkStart w:id="903" w:name="_Toc10848"/>
      <w:bookmarkStart w:id="904" w:name="_Toc23185"/>
      <w:bookmarkStart w:id="905" w:name="_Toc12047"/>
      <w:bookmarkStart w:id="906" w:name="_Toc7785"/>
      <w:bookmarkStart w:id="907" w:name="_Toc3932"/>
      <w:bookmarkStart w:id="908" w:name="_Toc17200"/>
      <w:bookmarkStart w:id="909" w:name="_Toc8177"/>
      <w:bookmarkStart w:id="910" w:name="_Toc16128"/>
      <w:bookmarkStart w:id="911" w:name="_Toc23100"/>
      <w:bookmarkStart w:id="912" w:name="_Toc19846"/>
      <w:bookmarkStart w:id="913" w:name="_Toc32727"/>
      <w:bookmarkStart w:id="914" w:name="_Toc13557"/>
      <w:bookmarkStart w:id="915" w:name="_Toc29405"/>
      <w:bookmarkStart w:id="916" w:name="_Toc16334"/>
      <w:bookmarkStart w:id="917" w:name="_Toc10003"/>
      <w:bookmarkStart w:id="918" w:name="_Toc8880"/>
      <w:bookmarkStart w:id="919" w:name="_Toc8700"/>
      <w:bookmarkStart w:id="920" w:name="_Toc29105"/>
      <w:bookmarkStart w:id="921" w:name="_Toc9429"/>
      <w:bookmarkStart w:id="922" w:name="_Toc14475"/>
      <w:bookmarkStart w:id="923" w:name="_Toc7857"/>
      <w:bookmarkStart w:id="924" w:name="_Toc5979"/>
      <w:bookmarkStart w:id="925" w:name="_Toc25205"/>
      <w:bookmarkStart w:id="926" w:name="_Toc31581"/>
      <w:bookmarkStart w:id="927" w:name="_Toc26976"/>
      <w:bookmarkStart w:id="928" w:name="_Toc3351"/>
      <w:bookmarkStart w:id="929" w:name="_Toc1548"/>
      <w:bookmarkStart w:id="930" w:name="_Toc14744"/>
      <w:bookmarkStart w:id="931" w:name="_Toc11437"/>
      <w:bookmarkStart w:id="932" w:name="_Toc13003"/>
      <w:bookmarkStart w:id="933" w:name="_Toc28206"/>
      <w:r>
        <w:rPr>
          <w:rFonts w:hint="eastAsia" w:ascii="宋体" w:hAnsi="宋体" w:eastAsia="楷体_GB2312" w:cs="Times New Roman"/>
          <w:b w:val="0"/>
          <w:bCs/>
          <w:color w:val="auto"/>
          <w:sz w:val="32"/>
          <w:szCs w:val="36"/>
          <w:highlight w:val="none"/>
          <w:lang w:val="en-US" w:eastAsia="zh-CN" w:bidi="ar"/>
        </w:rPr>
        <w:t>（十四）促进医疗、医保、医药协同</w:t>
      </w:r>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r>
        <w:rPr>
          <w:rFonts w:hint="eastAsia" w:ascii="宋体" w:hAnsi="宋体" w:eastAsia="楷体_GB2312" w:cs="Times New Roman"/>
          <w:b w:val="0"/>
          <w:bCs/>
          <w:color w:val="auto"/>
          <w:sz w:val="32"/>
          <w:szCs w:val="36"/>
          <w:highlight w:val="none"/>
          <w:lang w:val="en-US" w:eastAsia="zh-CN" w:bidi="ar"/>
        </w:rPr>
        <w:t>治理</w:t>
      </w:r>
      <w:bookmarkEnd w:id="928"/>
      <w:bookmarkEnd w:id="929"/>
      <w:bookmarkEnd w:id="930"/>
      <w:bookmarkEnd w:id="931"/>
      <w:bookmarkEnd w:id="932"/>
      <w:bookmarkEnd w:id="933"/>
    </w:p>
    <w:bookmarkEnd w:id="871"/>
    <w:bookmarkEnd w:id="872"/>
    <w:bookmarkEnd w:id="873"/>
    <w:bookmarkEnd w:id="874"/>
    <w:bookmarkEnd w:id="875"/>
    <w:bookmarkEnd w:id="876"/>
    <w:bookmarkEnd w:id="877"/>
    <w:bookmarkEnd w:id="878"/>
    <w:p w14:paraId="3154181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持续深化医疗、医保、医药协同联动改革，持续补强基层医疗卫生服务体系，纵深推进紧密型县域医共体提质增效。协同深化公立医院改革、医保支付、药耗集采等重点改革。支持医疗卫生“强基”工程和“强边”工程，完善紧密型县域医共体医保政策，支持基层首诊、双向转诊制度，促进分级诊疗。支持提升老年医学、儿科、精神心理、康复、护理等医疗服务和学科专业保障能力。支持医学检查检验结果互认、影像资料共享。</w:t>
      </w:r>
    </w:p>
    <w:p w14:paraId="3F9179AC">
      <w:pPr>
        <w:pStyle w:val="2"/>
        <w:rPr>
          <w:rFonts w:hint="eastAsia" w:ascii="仿宋_GB2312" w:hAnsi="仿宋_GB2312" w:eastAsia="仿宋_GB2312" w:cs="仿宋_GB2312"/>
          <w:color w:val="auto"/>
          <w:sz w:val="32"/>
          <w:szCs w:val="32"/>
          <w:highlight w:val="none"/>
          <w:lang w:val="en-US" w:eastAsia="zh-CN"/>
        </w:rPr>
      </w:pPr>
    </w:p>
    <w:p w14:paraId="0E0931CD">
      <w:pPr>
        <w:pStyle w:val="3"/>
        <w:rPr>
          <w:rFonts w:hint="eastAsia"/>
          <w:lang w:val="en-US" w:eastAsia="zh-CN"/>
        </w:rPr>
      </w:pPr>
      <w:bookmarkStart w:id="1390" w:name="_GoBack"/>
      <w:bookmarkEnd w:id="1390"/>
    </w:p>
    <w:tbl>
      <w:tblPr>
        <w:tblStyle w:val="15"/>
        <w:tblW w:w="5000" w:type="pct"/>
        <w:jc w:val="center"/>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autofit"/>
        <w:tblCellMar>
          <w:top w:w="0" w:type="dxa"/>
          <w:left w:w="0" w:type="dxa"/>
          <w:bottom w:w="0" w:type="dxa"/>
          <w:right w:w="0" w:type="dxa"/>
        </w:tblCellMar>
      </w:tblPr>
      <w:tblGrid>
        <w:gridCol w:w="9061"/>
      </w:tblGrid>
      <w:tr w14:paraId="6EF680DE">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282" w:hRule="atLeast"/>
          <w:jc w:val="center"/>
        </w:trPr>
        <w:tc>
          <w:tcPr>
            <w:tcW w:w="5000" w:type="pct"/>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7AD4B81C">
            <w:pPr>
              <w:pStyle w:val="18"/>
              <w:keepNext w:val="0"/>
              <w:keepLines w:val="0"/>
              <w:suppressLineNumbers w:val="0"/>
              <w:shd w:val="clear" w:color="auto" w:fill="FFFFFF"/>
              <w:spacing w:before="0" w:beforeAutospacing="0" w:after="0" w:afterAutospacing="0"/>
              <w:ind w:left="0" w:right="0" w:firstLineChars="200"/>
              <w:jc w:val="center"/>
              <w:outlineLvl w:val="9"/>
              <w:rPr>
                <w:rFonts w:hint="eastAsia" w:ascii="Times New Roman" w:hAnsi="Times New Roman" w:eastAsia="黑体" w:cs="Times New Roman"/>
                <w:snapToGrid w:val="0"/>
                <w:color w:val="auto"/>
                <w:sz w:val="24"/>
                <w:highlight w:val="none"/>
                <w:lang w:val="en-US" w:eastAsia="zh-CN" w:bidi="ar"/>
              </w:rPr>
            </w:pPr>
            <w:bookmarkStart w:id="934" w:name="_Toc20282"/>
            <w:bookmarkStart w:id="935" w:name="_Toc18477"/>
            <w:bookmarkStart w:id="936" w:name="_Toc8649"/>
            <w:bookmarkStart w:id="937" w:name="_Toc23546"/>
            <w:bookmarkStart w:id="938" w:name="_Toc15671"/>
            <w:bookmarkStart w:id="939" w:name="_Toc12151"/>
            <w:bookmarkStart w:id="940" w:name="_Toc20218"/>
            <w:bookmarkStart w:id="941" w:name="_Toc19104"/>
            <w:bookmarkStart w:id="942" w:name="_Toc813"/>
            <w:bookmarkStart w:id="943" w:name="_Toc20638"/>
            <w:bookmarkStart w:id="944" w:name="_Toc8286"/>
            <w:bookmarkStart w:id="945" w:name="_Toc22164"/>
            <w:bookmarkStart w:id="946" w:name="_Toc9689"/>
            <w:bookmarkStart w:id="947" w:name="_Toc1774"/>
            <w:bookmarkStart w:id="948" w:name="_Toc8116"/>
            <w:bookmarkStart w:id="949" w:name="_Toc20446"/>
            <w:bookmarkStart w:id="950" w:name="_Toc15840"/>
            <w:bookmarkStart w:id="951" w:name="_Toc14520"/>
            <w:bookmarkStart w:id="952" w:name="_Toc25427"/>
            <w:bookmarkStart w:id="953" w:name="_Toc16908"/>
            <w:bookmarkStart w:id="954" w:name="_Toc13311"/>
            <w:bookmarkStart w:id="955" w:name="_Toc2494"/>
            <w:bookmarkStart w:id="956" w:name="_Toc27757"/>
            <w:bookmarkStart w:id="957" w:name="_Toc17504"/>
            <w:bookmarkStart w:id="958" w:name="_Toc19556"/>
            <w:bookmarkStart w:id="959" w:name="_Toc31197"/>
            <w:bookmarkStart w:id="960" w:name="_Toc27113"/>
            <w:bookmarkStart w:id="961" w:name="_Toc2240"/>
            <w:bookmarkStart w:id="962" w:name="_Toc4056"/>
            <w:bookmarkStart w:id="963" w:name="_Toc20623"/>
            <w:bookmarkStart w:id="964" w:name="_Toc24918"/>
            <w:bookmarkStart w:id="965" w:name="_Toc20635"/>
            <w:bookmarkStart w:id="966" w:name="_Toc19236"/>
            <w:bookmarkStart w:id="967" w:name="_Toc26223"/>
            <w:bookmarkStart w:id="968" w:name="_Toc1114"/>
            <w:bookmarkStart w:id="969" w:name="_Toc12692"/>
            <w:bookmarkStart w:id="970" w:name="_Toc15123"/>
            <w:bookmarkStart w:id="971" w:name="_Toc11763"/>
            <w:bookmarkStart w:id="972" w:name="_Toc5195"/>
            <w:bookmarkStart w:id="973" w:name="_Toc14781"/>
            <w:bookmarkStart w:id="974" w:name="_Toc29368"/>
            <w:bookmarkStart w:id="975" w:name="_Toc6741"/>
            <w:bookmarkStart w:id="976" w:name="_Toc28928"/>
            <w:bookmarkStart w:id="977" w:name="_Toc2595"/>
            <w:bookmarkStart w:id="978" w:name="_Toc20709"/>
            <w:bookmarkStart w:id="979" w:name="_Toc29460"/>
            <w:bookmarkStart w:id="980" w:name="_Toc7323"/>
            <w:bookmarkStart w:id="981" w:name="_Toc27475"/>
            <w:bookmarkStart w:id="982" w:name="_Toc4476"/>
            <w:bookmarkStart w:id="983" w:name="_Toc26790"/>
            <w:bookmarkStart w:id="984" w:name="_Toc27581"/>
            <w:r>
              <w:rPr>
                <w:rFonts w:hint="default" w:ascii="Times New Roman" w:hAnsi="Times New Roman" w:eastAsia="黑体" w:cs="Times New Roman"/>
                <w:color w:val="auto"/>
                <w:kern w:val="0"/>
                <w:sz w:val="28"/>
                <w:szCs w:val="28"/>
                <w:highlight w:val="none"/>
                <w:lang w:bidi="ar"/>
              </w:rPr>
              <w:t>专栏</w:t>
            </w:r>
            <w:r>
              <w:rPr>
                <w:rFonts w:hint="default" w:ascii="Times New Roman" w:hAnsi="Times New Roman" w:eastAsia="黑体" w:cs="Times New Roman"/>
                <w:color w:val="auto"/>
                <w:kern w:val="0"/>
                <w:sz w:val="28"/>
                <w:szCs w:val="28"/>
                <w:highlight w:val="none"/>
                <w:lang w:val="en-US" w:eastAsia="zh-CN" w:bidi="ar"/>
              </w:rPr>
              <w:t>3</w:t>
            </w:r>
            <w:r>
              <w:rPr>
                <w:rFonts w:hint="default" w:ascii="Times New Roman" w:hAnsi="Times New Roman" w:eastAsia="黑体" w:cs="Times New Roman"/>
                <w:color w:val="auto"/>
                <w:kern w:val="0"/>
                <w:sz w:val="28"/>
                <w:szCs w:val="28"/>
                <w:highlight w:val="none"/>
                <w:lang w:bidi="ar"/>
              </w:rPr>
              <w:t xml:space="preserve">  </w:t>
            </w:r>
            <w:r>
              <w:rPr>
                <w:rFonts w:hint="default" w:ascii="Times New Roman" w:hAnsi="Times New Roman" w:eastAsia="黑体" w:cs="Times New Roman"/>
                <w:color w:val="auto"/>
                <w:kern w:val="0"/>
                <w:sz w:val="28"/>
                <w:szCs w:val="28"/>
                <w:highlight w:val="none"/>
                <w:lang w:val="en-US" w:eastAsia="zh-CN" w:bidi="ar"/>
              </w:rPr>
              <w:t>医保助力医疗卫生高质量</w:t>
            </w:r>
            <w:r>
              <w:rPr>
                <w:rFonts w:hint="default" w:ascii="Times New Roman" w:hAnsi="Times New Roman" w:eastAsia="黑体" w:cs="Times New Roman"/>
                <w:bCs w:val="0"/>
                <w:color w:val="auto"/>
                <w:kern w:val="0"/>
                <w:sz w:val="28"/>
                <w:szCs w:val="28"/>
                <w:highlight w:val="none"/>
                <w:lang w:val="en-US" w:eastAsia="zh-CN" w:bidi="ar"/>
              </w:rPr>
              <w:t>发展</w:t>
            </w:r>
          </w:p>
        </w:tc>
      </w:tr>
      <w:tr w14:paraId="1FFABE66">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90" w:hRule="atLeast"/>
          <w:jc w:val="center"/>
        </w:trPr>
        <w:tc>
          <w:tcPr>
            <w:tcW w:w="5000" w:type="pct"/>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68AF5129">
            <w:pPr>
              <w:keepNext w:val="0"/>
              <w:keepLines w:val="0"/>
              <w:suppressLineNumbers w:val="0"/>
              <w:spacing w:before="0" w:beforeAutospacing="0" w:after="0" w:afterAutospacing="0" w:line="400" w:lineRule="exact"/>
              <w:ind w:left="0" w:right="0" w:firstLine="420" w:firstLineChars="200"/>
              <w:rPr>
                <w:rFonts w:hint="eastAsia" w:ascii="宋体" w:hAnsi="宋体" w:eastAsia="宋体" w:cs="宋体"/>
                <w:snapToGrid w:val="0"/>
                <w:color w:val="auto"/>
                <w:sz w:val="21"/>
                <w:szCs w:val="21"/>
                <w:highlight w:val="none"/>
                <w:lang w:val="en-US" w:eastAsia="zh-CN" w:bidi="ar"/>
              </w:rPr>
            </w:pPr>
            <w:r>
              <w:rPr>
                <w:rFonts w:hint="eastAsia" w:ascii="宋体" w:hAnsi="宋体" w:eastAsia="宋体" w:cs="宋体"/>
                <w:snapToGrid w:val="0"/>
                <w:color w:val="auto"/>
                <w:sz w:val="21"/>
                <w:szCs w:val="21"/>
                <w:highlight w:val="none"/>
                <w:lang w:val="en-US" w:eastAsia="zh-CN" w:bidi="ar"/>
              </w:rPr>
              <w:t>1.深化医保支付方式改革，</w:t>
            </w:r>
            <w:r>
              <w:rPr>
                <w:rFonts w:hint="eastAsia" w:ascii="宋体" w:hAnsi="宋体" w:eastAsia="宋体" w:cs="宋体"/>
                <w:snapToGrid w:val="0"/>
                <w:color w:val="auto"/>
                <w:sz w:val="21"/>
                <w:szCs w:val="21"/>
                <w:highlight w:val="none"/>
                <w:lang w:bidi="ar"/>
              </w:rPr>
              <w:t>落实特例单议</w:t>
            </w:r>
            <w:r>
              <w:rPr>
                <w:rFonts w:hint="eastAsia" w:ascii="宋体" w:hAnsi="宋体" w:eastAsia="宋体" w:cs="宋体"/>
                <w:snapToGrid w:val="0"/>
                <w:color w:val="auto"/>
                <w:sz w:val="21"/>
                <w:szCs w:val="21"/>
                <w:highlight w:val="none"/>
                <w:lang w:eastAsia="zh-CN" w:bidi="ar"/>
              </w:rPr>
              <w:t>、</w:t>
            </w:r>
            <w:r>
              <w:rPr>
                <w:rFonts w:hint="eastAsia" w:ascii="宋体" w:hAnsi="宋体" w:eastAsia="宋体" w:cs="宋体"/>
                <w:snapToGrid w:val="0"/>
                <w:color w:val="auto"/>
                <w:sz w:val="21"/>
                <w:szCs w:val="21"/>
                <w:highlight w:val="none"/>
                <w:lang w:val="en-US" w:eastAsia="zh-CN" w:bidi="ar"/>
              </w:rPr>
              <w:t>数据工作组等</w:t>
            </w:r>
            <w:r>
              <w:rPr>
                <w:rFonts w:hint="eastAsia" w:ascii="宋体" w:hAnsi="宋体" w:eastAsia="宋体" w:cs="宋体"/>
                <w:snapToGrid w:val="0"/>
                <w:color w:val="auto"/>
                <w:sz w:val="21"/>
                <w:szCs w:val="21"/>
                <w:highlight w:val="none"/>
                <w:lang w:bidi="ar"/>
              </w:rPr>
              <w:t>机制，</w:t>
            </w:r>
            <w:r>
              <w:rPr>
                <w:rFonts w:hint="eastAsia" w:ascii="宋体" w:hAnsi="宋体" w:eastAsia="宋体" w:cs="宋体"/>
                <w:snapToGrid w:val="0"/>
                <w:color w:val="auto"/>
                <w:sz w:val="21"/>
                <w:szCs w:val="21"/>
                <w:highlight w:val="none"/>
                <w:lang w:val="en-US" w:eastAsia="zh-CN" w:bidi="ar"/>
              </w:rPr>
              <w:t>支持高水平医院内涵式建设和临床诊疗能力提升，助力</w:t>
            </w:r>
            <w:r>
              <w:rPr>
                <w:rFonts w:hint="eastAsia" w:ascii="宋体" w:hAnsi="宋体" w:eastAsia="宋体" w:cs="宋体"/>
                <w:snapToGrid w:val="0"/>
                <w:color w:val="auto"/>
                <w:sz w:val="21"/>
                <w:szCs w:val="21"/>
                <w:highlight w:val="none"/>
                <w:lang w:bidi="ar"/>
              </w:rPr>
              <w:t>公立医院</w:t>
            </w:r>
            <w:r>
              <w:rPr>
                <w:rFonts w:hint="eastAsia" w:ascii="宋体" w:hAnsi="宋体" w:eastAsia="宋体" w:cs="宋体"/>
                <w:snapToGrid w:val="0"/>
                <w:color w:val="auto"/>
                <w:sz w:val="21"/>
                <w:szCs w:val="21"/>
                <w:highlight w:val="none"/>
                <w:lang w:val="en-US" w:eastAsia="zh-CN" w:bidi="ar"/>
              </w:rPr>
              <w:t>高质量发展。</w:t>
            </w:r>
          </w:p>
          <w:p w14:paraId="3DB72852">
            <w:pPr>
              <w:keepNext w:val="0"/>
              <w:keepLines w:val="0"/>
              <w:suppressLineNumbers w:val="0"/>
              <w:spacing w:before="0" w:beforeAutospacing="0" w:after="0" w:afterAutospacing="0" w:line="400" w:lineRule="exact"/>
              <w:ind w:left="0" w:right="0" w:firstLine="420" w:firstLineChars="200"/>
              <w:rPr>
                <w:rFonts w:hint="eastAsia" w:ascii="宋体" w:hAnsi="宋体" w:eastAsia="宋体" w:cs="宋体"/>
                <w:snapToGrid w:val="0"/>
                <w:color w:val="auto"/>
                <w:sz w:val="21"/>
                <w:szCs w:val="21"/>
                <w:highlight w:val="none"/>
                <w:lang w:val="en-US" w:eastAsia="zh-CN" w:bidi="ar"/>
              </w:rPr>
            </w:pPr>
            <w:r>
              <w:rPr>
                <w:rFonts w:hint="eastAsia" w:ascii="宋体" w:hAnsi="宋体" w:eastAsia="宋体" w:cs="宋体"/>
                <w:snapToGrid w:val="0"/>
                <w:color w:val="auto"/>
                <w:sz w:val="21"/>
                <w:szCs w:val="21"/>
                <w:highlight w:val="none"/>
                <w:lang w:val="en-US" w:eastAsia="zh-CN" w:bidi="ar"/>
              </w:rPr>
              <w:t>2.</w:t>
            </w:r>
            <w:r>
              <w:rPr>
                <w:rFonts w:hint="eastAsia" w:ascii="宋体" w:hAnsi="宋体" w:eastAsia="宋体" w:cs="宋体"/>
                <w:snapToGrid w:val="0"/>
                <w:color w:val="auto"/>
                <w:sz w:val="21"/>
                <w:szCs w:val="21"/>
                <w:highlight w:val="none"/>
                <w:lang w:bidi="ar"/>
              </w:rPr>
              <w:t>合理规划定点资源配</w:t>
            </w:r>
            <w:r>
              <w:rPr>
                <w:rFonts w:hint="eastAsia" w:ascii="宋体" w:hAnsi="宋体" w:eastAsia="宋体" w:cs="宋体"/>
                <w:snapToGrid w:val="0"/>
                <w:color w:val="auto"/>
                <w:sz w:val="21"/>
                <w:szCs w:val="21"/>
                <w:highlight w:val="none"/>
                <w:lang w:val="en-US" w:eastAsia="zh-CN" w:bidi="ar"/>
              </w:rPr>
              <w:t>置</w:t>
            </w:r>
            <w:r>
              <w:rPr>
                <w:rFonts w:hint="eastAsia" w:ascii="宋体" w:hAnsi="宋体" w:eastAsia="宋体" w:cs="宋体"/>
                <w:snapToGrid w:val="0"/>
                <w:color w:val="auto"/>
                <w:sz w:val="21"/>
                <w:szCs w:val="21"/>
                <w:highlight w:val="none"/>
                <w:lang w:bidi="ar"/>
              </w:rPr>
              <w:t>，</w:t>
            </w:r>
            <w:r>
              <w:rPr>
                <w:rFonts w:hint="eastAsia" w:ascii="宋体" w:hAnsi="宋体" w:eastAsia="宋体" w:cs="宋体"/>
                <w:snapToGrid w:val="0"/>
                <w:color w:val="auto"/>
                <w:sz w:val="21"/>
                <w:szCs w:val="21"/>
                <w:highlight w:val="none"/>
                <w:lang w:val="en-US" w:eastAsia="zh-CN" w:bidi="ar"/>
              </w:rPr>
              <w:t>协同</w:t>
            </w:r>
            <w:r>
              <w:rPr>
                <w:rFonts w:hint="eastAsia" w:ascii="宋体" w:hAnsi="宋体" w:eastAsia="宋体" w:cs="宋体"/>
                <w:snapToGrid w:val="0"/>
                <w:color w:val="auto"/>
                <w:sz w:val="21"/>
                <w:szCs w:val="21"/>
                <w:highlight w:val="none"/>
                <w:lang w:bidi="ar"/>
              </w:rPr>
              <w:t>优化医疗卫生机构功能定位和结构布局</w:t>
            </w:r>
            <w:r>
              <w:rPr>
                <w:rFonts w:hint="eastAsia" w:ascii="宋体" w:hAnsi="宋体" w:eastAsia="宋体" w:cs="宋体"/>
                <w:snapToGrid w:val="0"/>
                <w:color w:val="auto"/>
                <w:sz w:val="21"/>
                <w:szCs w:val="21"/>
                <w:highlight w:val="none"/>
                <w:lang w:eastAsia="zh-CN" w:bidi="ar"/>
              </w:rPr>
              <w:t>。</w:t>
            </w:r>
            <w:r>
              <w:rPr>
                <w:rFonts w:hint="eastAsia" w:ascii="宋体" w:hAnsi="宋体" w:eastAsia="宋体" w:cs="宋体"/>
                <w:snapToGrid w:val="0"/>
                <w:color w:val="auto"/>
                <w:sz w:val="21"/>
                <w:szCs w:val="21"/>
                <w:highlight w:val="none"/>
                <w:lang w:bidi="ar"/>
              </w:rPr>
              <w:t>及时将符合条件的基层医疗卫生机构纳入定点</w:t>
            </w:r>
            <w:r>
              <w:rPr>
                <w:rFonts w:hint="eastAsia" w:ascii="宋体" w:hAnsi="宋体" w:eastAsia="宋体" w:cs="宋体"/>
                <w:snapToGrid w:val="0"/>
                <w:color w:val="auto"/>
                <w:sz w:val="21"/>
                <w:szCs w:val="21"/>
                <w:highlight w:val="none"/>
                <w:lang w:val="en-US" w:eastAsia="zh-CN" w:bidi="ar"/>
              </w:rPr>
              <w:t>管理，拓展</w:t>
            </w:r>
            <w:r>
              <w:rPr>
                <w:rFonts w:hint="eastAsia" w:ascii="宋体" w:hAnsi="宋体" w:eastAsia="宋体" w:cs="宋体"/>
                <w:snapToGrid w:val="0"/>
                <w:color w:val="auto"/>
                <w:sz w:val="21"/>
                <w:szCs w:val="21"/>
                <w:highlight w:val="none"/>
                <w:lang w:bidi="ar"/>
              </w:rPr>
              <w:t>基层机构定点覆盖</w:t>
            </w:r>
            <w:r>
              <w:rPr>
                <w:rFonts w:hint="eastAsia" w:ascii="宋体" w:hAnsi="宋体" w:eastAsia="宋体" w:cs="宋体"/>
                <w:snapToGrid w:val="0"/>
                <w:color w:val="auto"/>
                <w:sz w:val="21"/>
                <w:szCs w:val="21"/>
                <w:highlight w:val="none"/>
                <w:lang w:val="en-US" w:eastAsia="zh-CN" w:bidi="ar"/>
              </w:rPr>
              <w:t>。</w:t>
            </w:r>
          </w:p>
          <w:p w14:paraId="687DF4B7">
            <w:pPr>
              <w:keepNext w:val="0"/>
              <w:keepLines w:val="0"/>
              <w:suppressLineNumbers w:val="0"/>
              <w:spacing w:before="0" w:beforeAutospacing="0" w:after="0" w:afterAutospacing="0" w:line="400" w:lineRule="exact"/>
              <w:ind w:left="0" w:right="0" w:firstLine="420" w:firstLineChars="200"/>
              <w:rPr>
                <w:rFonts w:hint="default" w:ascii="宋体" w:hAnsi="宋体" w:eastAsia="宋体" w:cs="宋体"/>
                <w:snapToGrid w:val="0"/>
                <w:color w:val="auto"/>
                <w:sz w:val="21"/>
                <w:szCs w:val="21"/>
                <w:highlight w:val="none"/>
                <w:lang w:val="en-US" w:eastAsia="zh-CN" w:bidi="ar"/>
              </w:rPr>
            </w:pPr>
            <w:r>
              <w:rPr>
                <w:rFonts w:hint="eastAsia" w:ascii="宋体" w:hAnsi="宋体" w:eastAsia="宋体" w:cs="宋体"/>
                <w:snapToGrid w:val="0"/>
                <w:color w:val="auto"/>
                <w:sz w:val="21"/>
                <w:szCs w:val="21"/>
                <w:highlight w:val="none"/>
                <w:lang w:val="en-US" w:eastAsia="zh-CN" w:bidi="ar"/>
              </w:rPr>
              <w:t>3.合理优化不同医疗机构差异化报销比例，按定点医疗机构级别逐级设置住院起付标准和报销比例。</w:t>
            </w:r>
          </w:p>
          <w:p w14:paraId="4EC79B60">
            <w:pPr>
              <w:keepNext w:val="0"/>
              <w:keepLines w:val="0"/>
              <w:suppressLineNumbers w:val="0"/>
              <w:spacing w:before="0" w:beforeAutospacing="0" w:after="0" w:afterAutospacing="0" w:line="400" w:lineRule="exact"/>
              <w:ind w:left="0" w:right="0" w:firstLine="420" w:firstLineChars="200"/>
              <w:rPr>
                <w:rFonts w:hint="default" w:ascii="宋体" w:hAnsi="宋体" w:eastAsia="宋体" w:cs="宋体"/>
                <w:snapToGrid w:val="0"/>
                <w:color w:val="auto"/>
                <w:sz w:val="21"/>
                <w:szCs w:val="21"/>
                <w:highlight w:val="none"/>
                <w:lang w:val="en-US" w:eastAsia="zh-CN" w:bidi="ar"/>
              </w:rPr>
            </w:pPr>
            <w:r>
              <w:rPr>
                <w:rFonts w:hint="eastAsia" w:ascii="宋体" w:hAnsi="宋体" w:eastAsia="宋体" w:cs="宋体"/>
                <w:snapToGrid w:val="0"/>
                <w:color w:val="auto"/>
                <w:sz w:val="21"/>
                <w:szCs w:val="21"/>
                <w:highlight w:val="none"/>
                <w:lang w:val="en-US" w:eastAsia="zh-CN" w:bidi="ar"/>
              </w:rPr>
              <w:t>4.优化</w:t>
            </w:r>
            <w:r>
              <w:rPr>
                <w:rFonts w:hint="eastAsia" w:ascii="宋体" w:hAnsi="宋体" w:eastAsia="宋体" w:cs="宋体"/>
                <w:snapToGrid w:val="0"/>
                <w:color w:val="auto"/>
                <w:sz w:val="21"/>
                <w:szCs w:val="21"/>
                <w:highlight w:val="none"/>
                <w:lang w:bidi="ar"/>
              </w:rPr>
              <w:t>基层价格</w:t>
            </w:r>
            <w:r>
              <w:rPr>
                <w:rFonts w:hint="eastAsia" w:ascii="宋体" w:hAnsi="宋体" w:eastAsia="宋体" w:cs="宋体"/>
                <w:snapToGrid w:val="0"/>
                <w:color w:val="auto"/>
                <w:sz w:val="21"/>
                <w:szCs w:val="21"/>
                <w:highlight w:val="none"/>
                <w:lang w:val="en-US" w:eastAsia="zh-CN" w:bidi="ar"/>
              </w:rPr>
              <w:t>管理，落实基层医疗卫生机构一般诊疗费政策，合理缩小不同等级医疗机构</w:t>
            </w:r>
            <w:r>
              <w:rPr>
                <w:rFonts w:hint="eastAsia" w:ascii="宋体" w:hAnsi="宋体" w:eastAsia="宋体" w:cs="宋体"/>
                <w:snapToGrid w:val="0"/>
                <w:color w:val="auto"/>
                <w:sz w:val="21"/>
                <w:szCs w:val="21"/>
                <w:highlight w:val="none"/>
                <w:lang w:bidi="ar"/>
              </w:rPr>
              <w:t>部分均质化程度高的</w:t>
            </w:r>
            <w:r>
              <w:rPr>
                <w:rFonts w:hint="eastAsia" w:ascii="宋体" w:hAnsi="宋体" w:eastAsia="宋体" w:cs="宋体"/>
                <w:snapToGrid w:val="0"/>
                <w:color w:val="auto"/>
                <w:sz w:val="21"/>
                <w:szCs w:val="21"/>
                <w:highlight w:val="none"/>
                <w:lang w:val="en-US" w:eastAsia="zh-CN" w:bidi="ar"/>
              </w:rPr>
              <w:t>医疗服务项目价格差距。</w:t>
            </w:r>
          </w:p>
          <w:p w14:paraId="7F78FD4B">
            <w:pPr>
              <w:keepNext w:val="0"/>
              <w:keepLines w:val="0"/>
              <w:suppressLineNumbers w:val="0"/>
              <w:spacing w:before="0" w:beforeAutospacing="0" w:after="0" w:afterAutospacing="0" w:line="400" w:lineRule="exact"/>
              <w:ind w:left="0" w:right="0" w:firstLine="420" w:firstLineChars="200"/>
              <w:rPr>
                <w:rFonts w:hint="eastAsia" w:ascii="宋体" w:hAnsi="宋体" w:eastAsia="宋体" w:cs="宋体"/>
                <w:snapToGrid w:val="0"/>
                <w:color w:val="auto"/>
                <w:sz w:val="21"/>
                <w:szCs w:val="21"/>
                <w:highlight w:val="none"/>
                <w:lang w:bidi="ar"/>
              </w:rPr>
            </w:pPr>
            <w:r>
              <w:rPr>
                <w:rFonts w:hint="eastAsia" w:ascii="宋体" w:hAnsi="宋体" w:eastAsia="宋体" w:cs="宋体"/>
                <w:snapToGrid w:val="0"/>
                <w:color w:val="auto"/>
                <w:sz w:val="21"/>
                <w:szCs w:val="21"/>
                <w:highlight w:val="none"/>
                <w:lang w:val="en-US" w:eastAsia="zh-CN" w:bidi="ar"/>
              </w:rPr>
              <w:t>5.支持紧密型县域医共体建设，落实符合条件的紧密型县域医共体医保总额付费，合理确定职工医保和居民医保支出总额</w:t>
            </w:r>
            <w:r>
              <w:rPr>
                <w:rFonts w:hint="eastAsia" w:ascii="宋体" w:hAnsi="宋体" w:eastAsia="宋体" w:cs="宋体"/>
                <w:snapToGrid w:val="0"/>
                <w:color w:val="auto"/>
                <w:sz w:val="21"/>
                <w:szCs w:val="21"/>
                <w:highlight w:val="none"/>
                <w:lang w:bidi="ar"/>
              </w:rPr>
              <w:t>。</w:t>
            </w:r>
          </w:p>
          <w:p w14:paraId="2F8E78EE">
            <w:pPr>
              <w:keepNext w:val="0"/>
              <w:keepLines w:val="0"/>
              <w:suppressLineNumbers w:val="0"/>
              <w:spacing w:before="0" w:beforeAutospacing="0" w:after="0" w:afterAutospacing="0" w:line="400" w:lineRule="exact"/>
              <w:ind w:left="0" w:right="0" w:firstLine="420" w:firstLineChars="200"/>
              <w:rPr>
                <w:rFonts w:hint="default" w:ascii="宋体" w:hAnsi="宋体" w:eastAsia="宋体" w:cs="宋体"/>
                <w:snapToGrid w:val="0"/>
                <w:color w:val="auto"/>
                <w:sz w:val="21"/>
                <w:szCs w:val="21"/>
                <w:highlight w:val="none"/>
                <w:lang w:val="en-US" w:eastAsia="zh-CN" w:bidi="ar"/>
              </w:rPr>
            </w:pPr>
            <w:r>
              <w:rPr>
                <w:rFonts w:hint="eastAsia" w:ascii="宋体" w:hAnsi="宋体" w:eastAsia="宋体" w:cs="宋体"/>
                <w:snapToGrid w:val="0"/>
                <w:color w:val="auto"/>
                <w:sz w:val="21"/>
                <w:szCs w:val="21"/>
                <w:highlight w:val="none"/>
                <w:lang w:val="en-US" w:eastAsia="zh-CN" w:bidi="ar"/>
              </w:rPr>
              <w:t>6.</w:t>
            </w:r>
            <w:r>
              <w:rPr>
                <w:rFonts w:hint="eastAsia" w:ascii="宋体" w:hAnsi="宋体" w:eastAsia="宋体" w:cs="宋体"/>
                <w:snapToGrid w:val="0"/>
                <w:color w:val="auto"/>
                <w:sz w:val="21"/>
                <w:szCs w:val="21"/>
                <w:highlight w:val="none"/>
                <w:lang w:bidi="ar"/>
              </w:rPr>
              <w:t>明确基层诊疗病种范围</w:t>
            </w:r>
            <w:r>
              <w:rPr>
                <w:rFonts w:hint="eastAsia" w:ascii="宋体" w:hAnsi="宋体" w:eastAsia="宋体" w:cs="宋体"/>
                <w:snapToGrid w:val="0"/>
                <w:color w:val="auto"/>
                <w:sz w:val="21"/>
                <w:szCs w:val="21"/>
                <w:highlight w:val="none"/>
                <w:lang w:eastAsia="zh-CN" w:bidi="ar"/>
              </w:rPr>
              <w:t>，</w:t>
            </w:r>
            <w:r>
              <w:rPr>
                <w:rFonts w:hint="eastAsia" w:ascii="宋体" w:hAnsi="宋体" w:eastAsia="宋体" w:cs="宋体"/>
                <w:snapToGrid w:val="0"/>
                <w:color w:val="auto"/>
                <w:sz w:val="21"/>
                <w:szCs w:val="21"/>
                <w:highlight w:val="none"/>
                <w:lang w:val="en-US" w:eastAsia="zh-CN" w:bidi="ar"/>
              </w:rPr>
              <w:t>推动基层病种在不同级别医疗机构“同病同付”。</w:t>
            </w:r>
            <w:r>
              <w:rPr>
                <w:rFonts w:hint="eastAsia" w:ascii="宋体" w:hAnsi="宋体" w:eastAsia="宋体" w:cs="宋体"/>
                <w:snapToGrid w:val="0"/>
                <w:color w:val="auto"/>
                <w:sz w:val="21"/>
                <w:szCs w:val="21"/>
                <w:highlight w:val="none"/>
                <w:lang w:bidi="ar"/>
              </w:rPr>
              <w:commentReference w:id="3"/>
            </w:r>
            <w:r>
              <w:rPr>
                <w:rFonts w:hint="eastAsia" w:ascii="宋体" w:hAnsi="宋体" w:eastAsia="宋体" w:cs="宋体"/>
                <w:snapToGrid w:val="0"/>
                <w:color w:val="auto"/>
                <w:sz w:val="21"/>
                <w:szCs w:val="21"/>
                <w:highlight w:val="none"/>
                <w:lang w:bidi="ar"/>
              </w:rPr>
              <w:commentReference w:id="4"/>
            </w:r>
          </w:p>
        </w:tc>
      </w:tr>
    </w:tbl>
    <w:p w14:paraId="347A45A3">
      <w:pPr>
        <w:pStyle w:val="5"/>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both"/>
        <w:textAlignment w:val="auto"/>
        <w:outlineLvl w:val="1"/>
        <w:rPr>
          <w:rFonts w:hint="eastAsia" w:ascii="宋体" w:hAnsi="宋体" w:eastAsia="楷体_GB2312" w:cs="Times New Roman"/>
          <w:b w:val="0"/>
          <w:bCs/>
          <w:color w:val="auto"/>
          <w:sz w:val="32"/>
          <w:szCs w:val="36"/>
          <w:highlight w:val="none"/>
          <w:lang w:val="en-US" w:eastAsia="zh-CN" w:bidi="ar"/>
        </w:rPr>
      </w:pPr>
      <w:bookmarkStart w:id="985" w:name="_Toc8104"/>
      <w:bookmarkStart w:id="986" w:name="_Toc23324"/>
      <w:bookmarkStart w:id="987" w:name="_Toc32167"/>
      <w:bookmarkStart w:id="988" w:name="_Toc181"/>
      <w:bookmarkStart w:id="989" w:name="_Toc10187"/>
      <w:bookmarkStart w:id="990" w:name="_Toc2753"/>
      <w:bookmarkStart w:id="991" w:name="_Toc2620"/>
      <w:r>
        <w:rPr>
          <w:rFonts w:hint="eastAsia" w:ascii="宋体" w:hAnsi="宋体" w:eastAsia="楷体_GB2312" w:cs="Times New Roman"/>
          <w:b w:val="0"/>
          <w:bCs/>
          <w:color w:val="auto"/>
          <w:sz w:val="32"/>
          <w:szCs w:val="36"/>
          <w:highlight w:val="none"/>
          <w:lang w:val="en-US" w:eastAsia="zh-CN" w:bidi="ar"/>
        </w:rPr>
        <w:t>（十五）研究推进医保综合价值评价</w:t>
      </w:r>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p>
    <w:p w14:paraId="7968FAF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auto"/>
          <w:kern w:val="0"/>
          <w:sz w:val="32"/>
          <w:szCs w:val="32"/>
          <w:highlight w:val="none"/>
          <w:lang w:val="en-US" w:eastAsia="zh-CN" w:bidi="ar"/>
        </w:rPr>
      </w:pPr>
      <w:r>
        <w:rPr>
          <w:rFonts w:hint="default" w:ascii="仿宋_GB2312" w:hAnsi="仿宋_GB2312" w:eastAsia="仿宋_GB2312" w:cs="仿宋_GB2312"/>
          <w:color w:val="auto"/>
          <w:sz w:val="32"/>
          <w:szCs w:val="32"/>
          <w:highlight w:val="none"/>
          <w:lang w:val="en-US" w:eastAsia="zh-CN"/>
        </w:rPr>
        <w:t>对标国家真实世界医保综合价值评价方法与技术指南，</w:t>
      </w:r>
      <w:r>
        <w:rPr>
          <w:rFonts w:hint="eastAsia" w:ascii="仿宋_GB2312" w:hAnsi="仿宋_GB2312" w:eastAsia="仿宋_GB2312" w:cs="仿宋_GB2312"/>
          <w:color w:val="auto"/>
          <w:sz w:val="32"/>
          <w:szCs w:val="32"/>
          <w:highlight w:val="none"/>
          <w:lang w:val="en-US" w:eastAsia="zh-CN"/>
        </w:rPr>
        <w:t>探索</w:t>
      </w:r>
      <w:r>
        <w:rPr>
          <w:rFonts w:hint="default" w:ascii="仿宋_GB2312" w:hAnsi="仿宋_GB2312" w:eastAsia="仿宋_GB2312" w:cs="仿宋_GB2312"/>
          <w:color w:val="auto"/>
          <w:sz w:val="32"/>
          <w:szCs w:val="32"/>
          <w:highlight w:val="none"/>
          <w:lang w:val="en-US" w:eastAsia="zh-CN"/>
        </w:rPr>
        <w:t>药品、医用耗材、医疗服务项目医保综合价值评价研究。</w:t>
      </w:r>
      <w:bookmarkStart w:id="992" w:name="_Toc19904"/>
      <w:bookmarkStart w:id="993" w:name="_Toc18054"/>
      <w:bookmarkStart w:id="994" w:name="_Toc22688"/>
      <w:bookmarkStart w:id="995" w:name="_Toc12011"/>
      <w:bookmarkStart w:id="996" w:name="_Toc19406"/>
      <w:bookmarkStart w:id="997" w:name="_Toc3125"/>
      <w:bookmarkStart w:id="998" w:name="_Toc1894"/>
      <w:bookmarkStart w:id="999" w:name="_Toc21960"/>
      <w:bookmarkStart w:id="1000" w:name="_Toc10159"/>
      <w:bookmarkStart w:id="1001" w:name="_Toc30593"/>
      <w:bookmarkStart w:id="1002" w:name="_Toc6468"/>
      <w:bookmarkStart w:id="1003" w:name="_Toc25227"/>
      <w:bookmarkStart w:id="1004" w:name="_Toc21628"/>
      <w:bookmarkStart w:id="1005" w:name="_Toc17976"/>
      <w:bookmarkStart w:id="1006" w:name="_Toc21190"/>
      <w:bookmarkStart w:id="1007" w:name="_Toc2528"/>
      <w:bookmarkStart w:id="1008" w:name="_Toc22946"/>
      <w:bookmarkStart w:id="1009" w:name="_Toc19045"/>
      <w:bookmarkStart w:id="1010" w:name="_Toc30297"/>
      <w:bookmarkStart w:id="1011" w:name="_Toc23748"/>
      <w:bookmarkStart w:id="1012" w:name="_Toc28630"/>
      <w:bookmarkStart w:id="1013" w:name="_Toc12364"/>
      <w:bookmarkStart w:id="1014" w:name="_Toc96"/>
      <w:bookmarkStart w:id="1015" w:name="_Toc2561"/>
      <w:bookmarkStart w:id="1016" w:name="_Toc18452"/>
      <w:bookmarkStart w:id="1017" w:name="_Toc4335"/>
      <w:bookmarkStart w:id="1018" w:name="_Toc7157"/>
      <w:bookmarkStart w:id="1019" w:name="_Toc6540"/>
      <w:bookmarkStart w:id="1020" w:name="_Toc22772"/>
      <w:bookmarkStart w:id="1021" w:name="_Toc2690"/>
      <w:bookmarkStart w:id="1022" w:name="_Toc29410"/>
      <w:bookmarkStart w:id="1023" w:name="_Toc18124"/>
      <w:bookmarkStart w:id="1024" w:name="_Toc4292"/>
      <w:bookmarkStart w:id="1025" w:name="_Toc2790"/>
      <w:bookmarkStart w:id="1026" w:name="_Toc18552"/>
      <w:bookmarkStart w:id="1027" w:name="_Toc12394"/>
      <w:bookmarkStart w:id="1028" w:name="_Toc7605"/>
      <w:bookmarkStart w:id="1029" w:name="_Toc19021"/>
      <w:bookmarkStart w:id="1030" w:name="_Toc884"/>
      <w:bookmarkStart w:id="1031" w:name="_Toc22565"/>
      <w:bookmarkStart w:id="1032" w:name="_Toc30783"/>
      <w:bookmarkStart w:id="1033" w:name="_Toc12975"/>
      <w:bookmarkStart w:id="1034" w:name="_Toc23343"/>
      <w:bookmarkStart w:id="1035" w:name="_Toc5084"/>
      <w:bookmarkStart w:id="1036" w:name="_Toc6074"/>
      <w:bookmarkStart w:id="1037" w:name="_Toc8739"/>
      <w:bookmarkStart w:id="1038" w:name="_Toc2375"/>
      <w:bookmarkStart w:id="1039" w:name="_Toc14533"/>
      <w:bookmarkStart w:id="1040" w:name="_Toc16043"/>
      <w:bookmarkStart w:id="1041" w:name="_Toc7238"/>
      <w:bookmarkStart w:id="1042" w:name="_Toc16965"/>
      <w:bookmarkStart w:id="1043" w:name="_Toc31066"/>
      <w:bookmarkStart w:id="1044" w:name="_Toc6961"/>
      <w:bookmarkStart w:id="1045" w:name="_Toc389"/>
      <w:bookmarkStart w:id="1046" w:name="_Toc27361"/>
      <w:bookmarkStart w:id="1047" w:name="_Toc1539"/>
      <w:bookmarkStart w:id="1048" w:name="_Toc9775"/>
      <w:bookmarkStart w:id="1049" w:name="_Toc19641"/>
      <w:bookmarkStart w:id="1050" w:name="_Toc25102"/>
      <w:bookmarkStart w:id="1051" w:name="_Toc23961"/>
      <w:bookmarkStart w:id="1052" w:name="_Toc24380"/>
      <w:bookmarkStart w:id="1053" w:name="_Toc28650"/>
      <w:bookmarkStart w:id="1054" w:name="_Toc17925"/>
      <w:bookmarkStart w:id="1055" w:name="_Toc20822"/>
      <w:bookmarkStart w:id="1056" w:name="_Toc26399"/>
      <w:bookmarkStart w:id="1057" w:name="_Toc26217"/>
      <w:bookmarkStart w:id="1058" w:name="_Toc27584"/>
      <w:bookmarkStart w:id="1059" w:name="_Toc17938"/>
      <w:bookmarkStart w:id="1060" w:name="_Toc1615"/>
      <w:bookmarkStart w:id="1061" w:name="_Toc4971"/>
      <w:bookmarkStart w:id="1062" w:name="_Toc12061"/>
      <w:bookmarkStart w:id="1063" w:name="_Toc19795"/>
      <w:bookmarkStart w:id="1064" w:name="_Toc17431"/>
      <w:r>
        <w:rPr>
          <w:rFonts w:hint="eastAsia" w:ascii="仿宋_GB2312" w:hAnsi="仿宋_GB2312" w:eastAsia="仿宋_GB2312" w:cs="仿宋_GB2312"/>
          <w:color w:val="auto"/>
          <w:sz w:val="32"/>
          <w:szCs w:val="32"/>
          <w:highlight w:val="none"/>
          <w:lang w:val="en-US" w:eastAsia="zh-CN"/>
        </w:rPr>
        <w:t>支持本省医保真实世界综合价值评价国家可信评价点</w:t>
      </w:r>
      <w:r>
        <w:rPr>
          <w:rFonts w:hint="eastAsia" w:ascii="仿宋_GB2312" w:hAnsi="仿宋_GB2312" w:eastAsia="仿宋_GB2312" w:cs="仿宋_GB2312"/>
          <w:color w:val="auto"/>
          <w:sz w:val="32"/>
          <w:szCs w:val="32"/>
          <w:highlight w:val="none"/>
        </w:rPr>
        <w:t>开展医保综合价值评价工作。</w:t>
      </w:r>
    </w:p>
    <w:p w14:paraId="16A4313B">
      <w:pPr>
        <w:keepNext w:val="0"/>
        <w:keepLines w:val="0"/>
        <w:pageBreakBefore w:val="0"/>
        <w:widowControl w:val="0"/>
        <w:shd w:val="clear" w:color="auto" w:fill="FFFFFF"/>
        <w:kinsoku/>
        <w:wordWrap/>
        <w:overflowPunct/>
        <w:topLinePunct w:val="0"/>
        <w:autoSpaceDE/>
        <w:autoSpaceDN/>
        <w:bidi w:val="0"/>
        <w:adjustRightInd/>
        <w:snapToGrid/>
        <w:spacing w:line="560" w:lineRule="exact"/>
        <w:ind w:firstLineChars="200"/>
        <w:textAlignment w:val="auto"/>
        <w:outlineLvl w:val="0"/>
        <w:rPr>
          <w:rFonts w:hint="eastAsia" w:ascii="Times New Roman" w:hAnsi="Times New Roman" w:eastAsia="仿宋_GB2312" w:cs="Times New Roman"/>
          <w:color w:val="auto"/>
          <w:kern w:val="0"/>
          <w:sz w:val="32"/>
          <w:szCs w:val="32"/>
          <w:highlight w:val="none"/>
          <w:lang w:eastAsia="zh-CN" w:bidi="ar"/>
        </w:rPr>
      </w:pPr>
      <w:bookmarkStart w:id="1065" w:name="_Toc3121"/>
      <w:bookmarkStart w:id="1066" w:name="_Toc19063"/>
      <w:bookmarkStart w:id="1067" w:name="_Toc30928"/>
      <w:bookmarkStart w:id="1068" w:name="_Toc22143"/>
      <w:bookmarkStart w:id="1069" w:name="_Toc7705"/>
      <w:bookmarkStart w:id="1070" w:name="_Toc27079"/>
      <w:bookmarkStart w:id="1071" w:name="_Toc20816"/>
      <w:r>
        <w:rPr>
          <w:rFonts w:hint="eastAsia" w:ascii="黑体" w:hAnsi="黑体" w:eastAsia="黑体" w:cs="黑体"/>
          <w:color w:val="auto"/>
          <w:kern w:val="0"/>
          <w:sz w:val="32"/>
          <w:szCs w:val="32"/>
          <w:highlight w:val="none"/>
          <w:lang w:val="en-US" w:eastAsia="zh-CN" w:bidi="ar"/>
        </w:rPr>
        <w:t>五、强化</w:t>
      </w:r>
      <w:r>
        <w:rPr>
          <w:rFonts w:hint="eastAsia" w:ascii="黑体" w:hAnsi="黑体" w:eastAsia="黑体" w:cs="黑体"/>
          <w:color w:val="auto"/>
          <w:kern w:val="0"/>
          <w:sz w:val="32"/>
          <w:szCs w:val="32"/>
          <w:highlight w:val="none"/>
          <w:lang w:bidi="ar"/>
        </w:rPr>
        <w:t>基金</w:t>
      </w:r>
      <w:r>
        <w:rPr>
          <w:rFonts w:hint="eastAsia" w:ascii="黑体" w:hAnsi="黑体" w:eastAsia="黑体" w:cs="黑体"/>
          <w:color w:val="auto"/>
          <w:kern w:val="0"/>
          <w:sz w:val="32"/>
          <w:szCs w:val="32"/>
          <w:highlight w:val="none"/>
          <w:lang w:val="en-US" w:eastAsia="zh-CN" w:bidi="ar"/>
        </w:rPr>
        <w:t>运行和监督管理</w:t>
      </w:r>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p>
    <w:p w14:paraId="034FA81E">
      <w:pPr>
        <w:pStyle w:val="5"/>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both"/>
        <w:textAlignment w:val="auto"/>
        <w:outlineLvl w:val="1"/>
        <w:rPr>
          <w:rFonts w:hint="eastAsia" w:ascii="宋体" w:hAnsi="宋体" w:eastAsia="楷体_GB2312" w:cs="Times New Roman"/>
          <w:b w:val="0"/>
          <w:bCs/>
          <w:color w:val="auto"/>
          <w:sz w:val="32"/>
          <w:szCs w:val="36"/>
          <w:highlight w:val="none"/>
          <w:lang w:eastAsia="zh-CN" w:bidi="ar"/>
        </w:rPr>
      </w:pPr>
      <w:bookmarkStart w:id="1072" w:name="_Toc21125"/>
      <w:bookmarkStart w:id="1073" w:name="_Toc32316"/>
      <w:bookmarkStart w:id="1074" w:name="_Toc14682"/>
      <w:bookmarkStart w:id="1075" w:name="_Toc20353"/>
      <w:bookmarkStart w:id="1076" w:name="_Toc17053"/>
      <w:bookmarkStart w:id="1077" w:name="_Toc22047"/>
      <w:bookmarkStart w:id="1078" w:name="_Toc6997"/>
      <w:bookmarkStart w:id="1079" w:name="_Toc27681"/>
      <w:bookmarkStart w:id="1080" w:name="_Toc29653"/>
      <w:bookmarkStart w:id="1081" w:name="_Toc19188"/>
      <w:bookmarkStart w:id="1082" w:name="_Toc1704"/>
      <w:bookmarkStart w:id="1083" w:name="_Toc9198"/>
      <w:r>
        <w:rPr>
          <w:rFonts w:hint="default" w:ascii="宋体" w:hAnsi="宋体" w:eastAsia="楷体_GB2312" w:cs="Times New Roman"/>
          <w:b w:val="0"/>
          <w:bCs/>
          <w:color w:val="auto"/>
          <w:sz w:val="32"/>
          <w:szCs w:val="36"/>
          <w:highlight w:val="none"/>
          <w:lang w:eastAsia="zh-CN" w:bidi="ar"/>
        </w:rPr>
        <w:t>（</w:t>
      </w:r>
      <w:r>
        <w:rPr>
          <w:rFonts w:hint="eastAsia" w:ascii="宋体" w:hAnsi="宋体" w:eastAsia="楷体_GB2312" w:cs="Times New Roman"/>
          <w:b w:val="0"/>
          <w:bCs/>
          <w:color w:val="auto"/>
          <w:sz w:val="32"/>
          <w:szCs w:val="36"/>
          <w:highlight w:val="none"/>
          <w:lang w:val="en-US" w:eastAsia="zh-CN" w:bidi="ar"/>
        </w:rPr>
        <w:t>十六</w:t>
      </w:r>
      <w:r>
        <w:rPr>
          <w:rFonts w:hint="default" w:ascii="宋体" w:hAnsi="宋体" w:eastAsia="楷体_GB2312" w:cs="Times New Roman"/>
          <w:b w:val="0"/>
          <w:bCs/>
          <w:color w:val="auto"/>
          <w:sz w:val="32"/>
          <w:szCs w:val="36"/>
          <w:highlight w:val="none"/>
          <w:lang w:eastAsia="zh-CN" w:bidi="ar"/>
        </w:rPr>
        <w:t>）</w:t>
      </w:r>
      <w:r>
        <w:rPr>
          <w:rFonts w:hint="eastAsia" w:ascii="宋体" w:hAnsi="宋体" w:eastAsia="楷体_GB2312" w:cs="Times New Roman"/>
          <w:b w:val="0"/>
          <w:bCs/>
          <w:color w:val="auto"/>
          <w:sz w:val="32"/>
          <w:szCs w:val="36"/>
          <w:highlight w:val="none"/>
          <w:lang w:val="en-US" w:eastAsia="zh-CN" w:bidi="ar"/>
        </w:rPr>
        <w:t>加强</w:t>
      </w:r>
      <w:r>
        <w:rPr>
          <w:rFonts w:hint="default" w:ascii="宋体" w:hAnsi="宋体" w:eastAsia="楷体_GB2312" w:cs="Times New Roman"/>
          <w:b w:val="0"/>
          <w:bCs/>
          <w:color w:val="auto"/>
          <w:sz w:val="32"/>
          <w:szCs w:val="36"/>
          <w:highlight w:val="none"/>
          <w:lang w:eastAsia="zh-CN" w:bidi="ar"/>
        </w:rPr>
        <w:t>基金</w:t>
      </w:r>
      <w:r>
        <w:rPr>
          <w:rFonts w:hint="eastAsia" w:ascii="宋体" w:hAnsi="宋体" w:eastAsia="楷体_GB2312" w:cs="Times New Roman"/>
          <w:b w:val="0"/>
          <w:bCs/>
          <w:color w:val="auto"/>
          <w:sz w:val="32"/>
          <w:szCs w:val="36"/>
          <w:highlight w:val="none"/>
          <w:lang w:val="en-US" w:eastAsia="zh-CN" w:bidi="ar"/>
        </w:rPr>
        <w:t>运行</w:t>
      </w:r>
      <w:r>
        <w:rPr>
          <w:rFonts w:hint="default" w:ascii="宋体" w:hAnsi="宋体" w:eastAsia="楷体_GB2312" w:cs="Times New Roman"/>
          <w:b w:val="0"/>
          <w:bCs/>
          <w:color w:val="auto"/>
          <w:sz w:val="32"/>
          <w:szCs w:val="36"/>
          <w:highlight w:val="none"/>
          <w:lang w:eastAsia="zh-CN" w:bidi="ar"/>
        </w:rPr>
        <w:t>管理</w:t>
      </w:r>
      <w:bookmarkEnd w:id="1072"/>
      <w:bookmarkEnd w:id="1073"/>
      <w:bookmarkEnd w:id="1074"/>
      <w:bookmarkEnd w:id="1075"/>
      <w:bookmarkEnd w:id="1076"/>
      <w:bookmarkEnd w:id="1077"/>
      <w:bookmarkEnd w:id="1078"/>
      <w:bookmarkEnd w:id="1079"/>
      <w:bookmarkEnd w:id="1080"/>
      <w:bookmarkEnd w:id="1081"/>
      <w:bookmarkEnd w:id="1082"/>
      <w:bookmarkEnd w:id="1083"/>
    </w:p>
    <w:p w14:paraId="777A834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bookmarkStart w:id="1084" w:name="_Toc8432"/>
      <w:bookmarkStart w:id="1085" w:name="_Toc20325"/>
      <w:r>
        <w:rPr>
          <w:rFonts w:hint="eastAsia" w:ascii="仿宋_GB2312" w:hAnsi="仿宋_GB2312" w:eastAsia="仿宋_GB2312" w:cs="仿宋_GB2312"/>
          <w:color w:val="auto"/>
          <w:sz w:val="32"/>
          <w:szCs w:val="32"/>
          <w:highlight w:val="none"/>
          <w:lang w:val="en-US" w:eastAsia="zh-CN"/>
        </w:rPr>
        <w:t>坚持以收定支、收支平衡，科学编制基金预算，增强预算的刚性约束，严格执行预算调整审批程序。构建与统筹层次相适应的预算管理机制，强化分项分类预算执行管理。深化预算绩效管理，注重绩效评价结果运用。探索建立基金中长期精算模型，强化支出总额管理、政策调整事前评估和事后评价。</w:t>
      </w:r>
      <w:bookmarkEnd w:id="1084"/>
      <w:bookmarkEnd w:id="1085"/>
    </w:p>
    <w:p w14:paraId="4E0293B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bookmarkStart w:id="1086" w:name="_Toc32304"/>
      <w:bookmarkStart w:id="1087" w:name="_Toc5790"/>
      <w:r>
        <w:rPr>
          <w:rFonts w:hint="eastAsia" w:ascii="仿宋_GB2312" w:hAnsi="仿宋_GB2312" w:eastAsia="仿宋_GB2312" w:cs="仿宋_GB2312"/>
          <w:color w:val="auto"/>
          <w:sz w:val="32"/>
          <w:szCs w:val="32"/>
          <w:highlight w:val="none"/>
          <w:lang w:val="en-US" w:eastAsia="zh-CN"/>
        </w:rPr>
        <w:t>健全医保基金运行监测、风险预警和风险问题及时处理闭环管理机制。常态化开展基金运行监测及分析，深化基金运行评价，强化风险预警管理。开展医保统计和业务协同的数据联审、质量考核。推动国家医保统计监测点建设。严格基金财务管理，健全财务管理制度，强化制度落实与监督管理，强化基金保值增值，确保各项社会保险待遇按时足额发放，防止挤占和挪用。</w:t>
      </w:r>
      <w:bookmarkEnd w:id="1086"/>
      <w:bookmarkEnd w:id="1087"/>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1"/>
      </w:tblGrid>
      <w:tr w14:paraId="503BA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1" w:type="dxa"/>
            <w:noWrap w:val="0"/>
            <w:vAlign w:val="top"/>
          </w:tcPr>
          <w:p w14:paraId="4A7AA20A">
            <w:pPr>
              <w:pStyle w:val="18"/>
              <w:keepNext w:val="0"/>
              <w:keepLines w:val="0"/>
              <w:suppressLineNumbers w:val="0"/>
              <w:shd w:val="clear" w:color="auto" w:fill="FFFFFF"/>
              <w:spacing w:before="0" w:beforeAutospacing="0" w:after="0" w:afterAutospacing="0"/>
              <w:ind w:left="0" w:right="0" w:firstLineChars="1100"/>
              <w:jc w:val="both"/>
              <w:outlineLvl w:val="9"/>
              <w:rPr>
                <w:rFonts w:hint="default" w:ascii="Times New Roman" w:hAnsi="Times New Roman" w:eastAsia="宋体" w:cs="Times New Roman"/>
                <w:b w:val="0"/>
                <w:bCs w:val="0"/>
                <w:snapToGrid w:val="0"/>
                <w:color w:val="auto"/>
                <w:sz w:val="24"/>
                <w:szCs w:val="24"/>
                <w:highlight w:val="none"/>
                <w:vertAlign w:val="baseline"/>
                <w:lang w:val="en-US" w:eastAsia="zh-CN" w:bidi="ar"/>
              </w:rPr>
            </w:pPr>
            <w:bookmarkStart w:id="1088" w:name="_Toc7199"/>
            <w:bookmarkStart w:id="1089" w:name="_Toc6222"/>
            <w:r>
              <w:rPr>
                <w:rFonts w:hint="default" w:ascii="Times New Roman" w:hAnsi="Times New Roman" w:eastAsia="黑体" w:cs="Times New Roman"/>
                <w:b w:val="0"/>
                <w:bCs w:val="0"/>
                <w:color w:val="auto"/>
                <w:kern w:val="0"/>
                <w:sz w:val="28"/>
                <w:szCs w:val="28"/>
                <w:highlight w:val="none"/>
                <w:vertAlign w:val="baseline"/>
                <w:lang w:val="en-US" w:eastAsia="zh-CN" w:bidi="ar"/>
              </w:rPr>
              <w:t>专栏4  基金运行监测预警</w:t>
            </w:r>
            <w:bookmarkEnd w:id="1088"/>
            <w:bookmarkEnd w:id="1089"/>
          </w:p>
        </w:tc>
      </w:tr>
      <w:tr w14:paraId="23EC4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1" w:type="dxa"/>
            <w:noWrap w:val="0"/>
            <w:vAlign w:val="top"/>
          </w:tcPr>
          <w:p w14:paraId="4962CEC4">
            <w:pPr>
              <w:keepNext w:val="0"/>
              <w:keepLines w:val="0"/>
              <w:suppressLineNumbers w:val="0"/>
              <w:spacing w:before="0" w:beforeAutospacing="0" w:after="0" w:afterAutospacing="0" w:line="400" w:lineRule="exact"/>
              <w:ind w:left="0" w:right="0" w:firstLine="420" w:firstLineChars="200"/>
              <w:outlineLvl w:val="9"/>
              <w:rPr>
                <w:rFonts w:hint="eastAsia" w:ascii="宋体" w:hAnsi="宋体" w:eastAsia="宋体" w:cs="宋体"/>
                <w:i w:val="0"/>
                <w:iCs w:val="0"/>
                <w:caps w:val="0"/>
                <w:snapToGrid w:val="0"/>
                <w:color w:val="auto"/>
                <w:spacing w:val="0"/>
                <w:sz w:val="21"/>
                <w:szCs w:val="21"/>
                <w:highlight w:val="none"/>
                <w:shd w:val="clear" w:color="auto" w:fill="auto"/>
                <w:lang w:val="en-US" w:eastAsia="zh-CN" w:bidi="ar"/>
              </w:rPr>
            </w:pPr>
            <w:bookmarkStart w:id="1090" w:name="_Toc7856"/>
            <w:bookmarkStart w:id="1091" w:name="_Toc3370"/>
            <w:r>
              <w:rPr>
                <w:rFonts w:hint="eastAsia" w:ascii="宋体" w:hAnsi="宋体" w:eastAsia="宋体" w:cs="宋体"/>
                <w:b w:val="0"/>
                <w:bCs w:val="0"/>
                <w:strike w:val="0"/>
                <w:snapToGrid w:val="0"/>
                <w:color w:val="auto"/>
                <w:sz w:val="21"/>
                <w:szCs w:val="21"/>
                <w:highlight w:val="none"/>
                <w:vertAlign w:val="baseline"/>
                <w:lang w:val="en-US" w:eastAsia="zh-CN" w:bidi="ar"/>
              </w:rPr>
              <w:t>1.健全运行监测和分析机制。做好基金收支和结余日常监测，</w:t>
            </w:r>
            <w:r>
              <w:rPr>
                <w:rFonts w:hint="eastAsia" w:ascii="宋体" w:hAnsi="宋体" w:eastAsia="宋体" w:cs="宋体"/>
                <w:i w:val="0"/>
                <w:iCs w:val="0"/>
                <w:caps w:val="0"/>
                <w:snapToGrid w:val="0"/>
                <w:color w:val="auto"/>
                <w:spacing w:val="0"/>
                <w:sz w:val="21"/>
                <w:szCs w:val="21"/>
                <w:highlight w:val="none"/>
                <w:shd w:val="clear" w:color="auto" w:fill="auto"/>
                <w:lang w:val="en-US" w:eastAsia="zh-CN" w:bidi="ar"/>
              </w:rPr>
              <w:t>建立基金运行监测指标库与数据库，</w:t>
            </w:r>
            <w:r>
              <w:rPr>
                <w:rFonts w:hint="eastAsia" w:ascii="宋体" w:hAnsi="宋体" w:eastAsia="宋体" w:cs="宋体"/>
                <w:b w:val="0"/>
                <w:bCs w:val="0"/>
                <w:strike w:val="0"/>
                <w:snapToGrid w:val="0"/>
                <w:color w:val="auto"/>
                <w:sz w:val="21"/>
                <w:szCs w:val="21"/>
                <w:highlight w:val="none"/>
                <w:vertAlign w:val="baseline"/>
                <w:lang w:val="en-US" w:eastAsia="zh-CN" w:bidi="ar"/>
              </w:rPr>
              <w:t>推动</w:t>
            </w:r>
            <w:r>
              <w:rPr>
                <w:rFonts w:hint="eastAsia" w:ascii="宋体" w:hAnsi="宋体" w:eastAsia="宋体" w:cs="宋体"/>
                <w:i w:val="0"/>
                <w:iCs w:val="0"/>
                <w:caps w:val="0"/>
                <w:snapToGrid w:val="0"/>
                <w:color w:val="auto"/>
                <w:spacing w:val="0"/>
                <w:sz w:val="21"/>
                <w:szCs w:val="21"/>
                <w:highlight w:val="none"/>
                <w:shd w:val="clear" w:color="auto" w:fill="auto"/>
                <w:lang w:val="en-US" w:eastAsia="zh-CN" w:bidi="ar"/>
              </w:rPr>
              <w:t>基金运行多场景全过程可视化，绩效评价结果多维应用。</w:t>
            </w:r>
            <w:bookmarkEnd w:id="1090"/>
            <w:bookmarkEnd w:id="1091"/>
          </w:p>
          <w:p w14:paraId="0087D28A">
            <w:pPr>
              <w:keepNext w:val="0"/>
              <w:keepLines w:val="0"/>
              <w:suppressLineNumbers w:val="0"/>
              <w:spacing w:before="0" w:beforeAutospacing="0" w:after="0" w:afterAutospacing="0" w:line="400" w:lineRule="exact"/>
              <w:ind w:left="0" w:right="0" w:firstLine="420" w:firstLineChars="200"/>
              <w:outlineLvl w:val="9"/>
              <w:rPr>
                <w:rFonts w:hint="eastAsia" w:ascii="宋体" w:hAnsi="宋体" w:eastAsia="宋体" w:cs="宋体"/>
                <w:b w:val="0"/>
                <w:bCs w:val="0"/>
                <w:strike w:val="0"/>
                <w:snapToGrid w:val="0"/>
                <w:color w:val="auto"/>
                <w:sz w:val="21"/>
                <w:szCs w:val="21"/>
                <w:highlight w:val="none"/>
                <w:vertAlign w:val="baseline"/>
                <w:lang w:val="en-US" w:eastAsia="zh-CN" w:bidi="ar"/>
              </w:rPr>
            </w:pPr>
            <w:bookmarkStart w:id="1092" w:name="_Toc25626"/>
            <w:bookmarkStart w:id="1093" w:name="_Toc21970"/>
            <w:r>
              <w:rPr>
                <w:rFonts w:hint="eastAsia" w:ascii="宋体" w:hAnsi="宋体" w:eastAsia="宋体" w:cs="宋体"/>
                <w:b w:val="0"/>
                <w:bCs w:val="0"/>
                <w:strike w:val="0"/>
                <w:snapToGrid w:val="0"/>
                <w:color w:val="auto"/>
                <w:sz w:val="21"/>
                <w:szCs w:val="21"/>
                <w:highlight w:val="none"/>
                <w:vertAlign w:val="baseline"/>
                <w:lang w:val="en-US" w:eastAsia="zh-CN" w:bidi="ar"/>
              </w:rPr>
              <w:t>2.健全风险预警机制。依托全国统一的医保信息平台，建立</w:t>
            </w:r>
            <w:r>
              <w:rPr>
                <w:rFonts w:hint="eastAsia" w:ascii="宋体" w:hAnsi="宋体" w:eastAsia="宋体" w:cs="宋体"/>
                <w:snapToGrid w:val="0"/>
                <w:color w:val="auto"/>
                <w:sz w:val="21"/>
                <w:szCs w:val="21"/>
                <w:highlight w:val="none"/>
                <w:shd w:val="clear" w:color="auto" w:fill="auto"/>
                <w:lang w:val="en-US" w:eastAsia="zh-CN" w:bidi="ar"/>
              </w:rPr>
              <w:t>基金收支模型和风险预警系统，合理设置</w:t>
            </w:r>
            <w:r>
              <w:rPr>
                <w:rFonts w:hint="eastAsia" w:ascii="宋体" w:hAnsi="宋体" w:eastAsia="宋体" w:cs="宋体"/>
                <w:b w:val="0"/>
                <w:bCs w:val="0"/>
                <w:strike w:val="0"/>
                <w:snapToGrid w:val="0"/>
                <w:color w:val="auto"/>
                <w:sz w:val="21"/>
                <w:szCs w:val="21"/>
                <w:highlight w:val="none"/>
                <w:vertAlign w:val="baseline"/>
                <w:lang w:val="en-US" w:eastAsia="zh-CN" w:bidi="ar"/>
              </w:rPr>
              <w:t>风险预警阈值，研判基金运行风险等级。</w:t>
            </w:r>
            <w:bookmarkEnd w:id="1092"/>
            <w:bookmarkEnd w:id="1093"/>
          </w:p>
          <w:p w14:paraId="7BE2634F">
            <w:pPr>
              <w:keepNext w:val="0"/>
              <w:keepLines w:val="0"/>
              <w:suppressLineNumbers w:val="0"/>
              <w:spacing w:before="0" w:beforeAutospacing="0" w:after="0" w:afterAutospacing="0" w:line="400" w:lineRule="exact"/>
              <w:ind w:left="0" w:right="0" w:firstLine="420" w:firstLineChars="200"/>
              <w:outlineLvl w:val="9"/>
              <w:rPr>
                <w:rFonts w:hint="eastAsia" w:ascii="宋体" w:hAnsi="宋体" w:eastAsia="宋体" w:cs="宋体"/>
                <w:b w:val="0"/>
                <w:bCs w:val="0"/>
                <w:strike w:val="0"/>
                <w:snapToGrid w:val="0"/>
                <w:color w:val="auto"/>
                <w:sz w:val="21"/>
                <w:szCs w:val="21"/>
                <w:highlight w:val="none"/>
                <w:vertAlign w:val="baseline"/>
                <w:lang w:val="en-US" w:eastAsia="zh-CN" w:bidi="ar"/>
              </w:rPr>
            </w:pPr>
            <w:bookmarkStart w:id="1094" w:name="_Toc1842"/>
            <w:bookmarkStart w:id="1095" w:name="_Toc21659"/>
            <w:r>
              <w:rPr>
                <w:rFonts w:hint="eastAsia" w:ascii="宋体" w:hAnsi="宋体" w:eastAsia="宋体" w:cs="宋体"/>
                <w:b w:val="0"/>
                <w:bCs w:val="0"/>
                <w:strike w:val="0"/>
                <w:snapToGrid w:val="0"/>
                <w:color w:val="auto"/>
                <w:sz w:val="21"/>
                <w:szCs w:val="21"/>
                <w:highlight w:val="none"/>
                <w:vertAlign w:val="baseline"/>
                <w:lang w:val="en-US" w:eastAsia="zh-CN" w:bidi="ar"/>
              </w:rPr>
              <w:t>3.健全风险应对机制。根据风险等级和管理层级明确应对措施，跟踪预警地区基金运行变化及风险解除情况。</w:t>
            </w:r>
            <w:bookmarkEnd w:id="1094"/>
            <w:bookmarkEnd w:id="1095"/>
          </w:p>
          <w:p w14:paraId="74F6284A">
            <w:pPr>
              <w:keepNext w:val="0"/>
              <w:keepLines w:val="0"/>
              <w:suppressLineNumbers w:val="0"/>
              <w:spacing w:before="0" w:beforeAutospacing="0" w:after="0" w:afterAutospacing="0" w:line="400" w:lineRule="exact"/>
              <w:ind w:left="0" w:right="0" w:firstLine="420" w:firstLineChars="200"/>
              <w:outlineLvl w:val="9"/>
              <w:rPr>
                <w:rFonts w:hint="default" w:ascii="Times New Roman" w:hAnsi="Times New Roman" w:eastAsia="宋体" w:cs="Times New Roman"/>
                <w:b w:val="0"/>
                <w:bCs w:val="0"/>
                <w:snapToGrid w:val="0"/>
                <w:color w:val="auto"/>
                <w:sz w:val="24"/>
                <w:szCs w:val="24"/>
                <w:highlight w:val="none"/>
                <w:vertAlign w:val="baseline"/>
                <w:lang w:val="en-US" w:eastAsia="zh-CN" w:bidi="ar"/>
              </w:rPr>
            </w:pPr>
            <w:bookmarkStart w:id="1096" w:name="_Toc29946"/>
            <w:bookmarkStart w:id="1097" w:name="_Toc8583"/>
            <w:r>
              <w:rPr>
                <w:rFonts w:hint="eastAsia" w:ascii="宋体" w:hAnsi="宋体" w:eastAsia="宋体" w:cs="宋体"/>
                <w:b w:val="0"/>
                <w:bCs w:val="0"/>
                <w:strike w:val="0"/>
                <w:snapToGrid w:val="0"/>
                <w:color w:val="auto"/>
                <w:sz w:val="21"/>
                <w:szCs w:val="21"/>
                <w:highlight w:val="none"/>
                <w:vertAlign w:val="baseline"/>
                <w:lang w:val="en-US" w:eastAsia="zh-CN" w:bidi="ar"/>
              </w:rPr>
              <w:t>4.加强数据共享。做好医保、财政、税务部门间数据交互，推进医保信息系统与预算管理一体化系统对接。</w:t>
            </w:r>
            <w:bookmarkEnd w:id="1096"/>
            <w:bookmarkEnd w:id="1097"/>
          </w:p>
        </w:tc>
      </w:tr>
    </w:tbl>
    <w:p w14:paraId="7E4963A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坚持规划总量、调整存量、优化增量、提高质量，结合人口增减趋势变化、医疗服务需求以及区域医疗卫生资源规划等，引导定点医药机构资源科学合理配置。推动定点机构资源配置分析系统建设，加快实现定点医药机构资源布局可视化。</w:t>
      </w:r>
      <w:r>
        <w:rPr>
          <w:rFonts w:hint="default" w:ascii="仿宋_GB2312" w:hAnsi="仿宋_GB2312" w:eastAsia="仿宋_GB2312" w:cs="仿宋_GB2312"/>
          <w:color w:val="auto"/>
          <w:sz w:val="32"/>
          <w:szCs w:val="32"/>
          <w:highlight w:val="none"/>
          <w:lang w:val="en-US" w:eastAsia="zh-CN"/>
        </w:rPr>
        <w:t>健全医保协议管理机制</w:t>
      </w:r>
      <w:r>
        <w:rPr>
          <w:rFonts w:hint="eastAsia" w:ascii="仿宋_GB2312" w:hAnsi="仿宋_GB2312" w:eastAsia="仿宋_GB2312" w:cs="仿宋_GB2312"/>
          <w:color w:val="auto"/>
          <w:sz w:val="32"/>
          <w:szCs w:val="32"/>
          <w:highlight w:val="none"/>
          <w:lang w:val="en-US" w:eastAsia="zh-CN"/>
        </w:rPr>
        <w:t>，适时</w:t>
      </w:r>
      <w:r>
        <w:rPr>
          <w:rFonts w:hint="default" w:ascii="仿宋_GB2312" w:hAnsi="仿宋_GB2312" w:eastAsia="仿宋_GB2312" w:cs="仿宋_GB2312"/>
          <w:color w:val="auto"/>
          <w:sz w:val="32"/>
          <w:szCs w:val="32"/>
          <w:highlight w:val="none"/>
          <w:lang w:val="en-US" w:eastAsia="zh-CN"/>
        </w:rPr>
        <w:t>修订定点医药机构协议范本和经办规程，严格定点医药机构准入管理，建立健全定点医药机构绩效评价机制，科学动态调整。实行定点医药机构分级分类管理，创新协议管理方式。</w:t>
      </w:r>
    </w:p>
    <w:p w14:paraId="68B1F9E5">
      <w:pPr>
        <w:pStyle w:val="5"/>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both"/>
        <w:textAlignment w:val="auto"/>
        <w:outlineLvl w:val="1"/>
        <w:rPr>
          <w:rFonts w:hint="eastAsia" w:ascii="宋体" w:hAnsi="宋体" w:eastAsia="楷体_GB2312" w:cs="Times New Roman"/>
          <w:b w:val="0"/>
          <w:bCs/>
          <w:color w:val="auto"/>
          <w:sz w:val="32"/>
          <w:szCs w:val="36"/>
          <w:highlight w:val="none"/>
          <w:lang w:eastAsia="zh-CN" w:bidi="ar"/>
        </w:rPr>
      </w:pPr>
      <w:r>
        <w:rPr>
          <w:rFonts w:hint="eastAsia" w:ascii="宋体" w:hAnsi="宋体" w:eastAsia="楷体_GB2312" w:cs="Times New Roman"/>
          <w:b w:val="0"/>
          <w:bCs/>
          <w:color w:val="auto"/>
          <w:sz w:val="32"/>
          <w:szCs w:val="36"/>
          <w:highlight w:val="none"/>
          <w:lang w:eastAsia="zh-CN" w:bidi="ar"/>
        </w:rPr>
        <w:t>（十七）持续强化基金监管力度</w:t>
      </w:r>
    </w:p>
    <w:p w14:paraId="22B1F36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统筹国家、省级飞行检查和市级交叉检查，省级飞行检查每年覆盖全省所有地级市，5年覆盖所有县，覆盖所有地级市医保经办机构。市县医保部门结合实际，5年实现对辖区内定点医药机构、医保经办机构现场检查全覆盖。分领域、分阶段系统推进医保基金使用问题专项整治。深化飞行检查和专项整治成果运用，动态调整使用医疗保障基金行为负面清单，深入开展定点医药机构违法违规使用医保基金自查自纠。做好举报投诉线索和大数据筛查疑点线索的核查检查。综合运用行政处罚、协议管理、支付资格管理等手段，依法依规处置违法违规行为。做好与相关部门线索移送和联合惩戒。强化典型案件曝光。</w:t>
      </w:r>
    </w:p>
    <w:p w14:paraId="4228A3FE">
      <w:pPr>
        <w:pStyle w:val="5"/>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both"/>
        <w:textAlignment w:val="auto"/>
        <w:outlineLvl w:val="1"/>
        <w:rPr>
          <w:rFonts w:hint="eastAsia" w:ascii="宋体" w:hAnsi="宋体" w:eastAsia="楷体_GB2312" w:cs="Times New Roman"/>
          <w:b w:val="0"/>
          <w:bCs/>
          <w:color w:val="auto"/>
          <w:sz w:val="32"/>
          <w:szCs w:val="36"/>
          <w:highlight w:val="none"/>
          <w:lang w:eastAsia="zh-CN" w:bidi="ar"/>
        </w:rPr>
      </w:pPr>
      <w:r>
        <w:rPr>
          <w:rFonts w:hint="eastAsia" w:ascii="宋体" w:hAnsi="宋体" w:eastAsia="楷体_GB2312" w:cs="Times New Roman"/>
          <w:b w:val="0"/>
          <w:bCs/>
          <w:color w:val="auto"/>
          <w:sz w:val="32"/>
          <w:szCs w:val="36"/>
          <w:highlight w:val="none"/>
          <w:lang w:eastAsia="zh-CN" w:bidi="ar"/>
        </w:rPr>
        <w:t>（十八）持续完善全流程监管体系</w:t>
      </w:r>
    </w:p>
    <w:p w14:paraId="298767A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统筹推进医药机构端事前提醒、经办端事中审核、行政端事后监管。基本实现定点医药机构事前提醒全覆盖。落实国家发布的“两库”规则，赋能各级医保部门和定点医药机构。探索人工智能等前沿技术运用，加快推进大数据监管模型研发应用，逐步形成覆盖医保基金使用的大数据监管模型矩阵。探索开展与DRG/DIP支付方式相匹配的病种监管。推动药品追溯码在医保领域全量采集和全场景应用，深化与公安、药监等部门联查联办，推动打击倒卖医保“回流药”形成监管闭环。</w:t>
      </w:r>
    </w:p>
    <w:tbl>
      <w:tblPr>
        <w:tblStyle w:val="15"/>
        <w:tblW w:w="5000" w:type="pct"/>
        <w:jc w:val="center"/>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autofit"/>
        <w:tblCellMar>
          <w:top w:w="0" w:type="dxa"/>
          <w:left w:w="0" w:type="dxa"/>
          <w:bottom w:w="0" w:type="dxa"/>
          <w:right w:w="0" w:type="dxa"/>
        </w:tblCellMar>
      </w:tblPr>
      <w:tblGrid>
        <w:gridCol w:w="9061"/>
      </w:tblGrid>
      <w:tr w14:paraId="0FC7E82D">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537" w:hRule="atLeast"/>
          <w:jc w:val="center"/>
        </w:trPr>
        <w:tc>
          <w:tcPr>
            <w:tcW w:w="5000" w:type="pct"/>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3CD3CD85">
            <w:pPr>
              <w:pStyle w:val="18"/>
              <w:keepNext w:val="0"/>
              <w:keepLines w:val="0"/>
              <w:suppressLineNumbers w:val="0"/>
              <w:shd w:val="clear" w:color="auto" w:fill="FFFFFF"/>
              <w:spacing w:before="0" w:beforeAutospacing="0" w:after="0" w:afterAutospacing="0"/>
              <w:ind w:left="0" w:right="0" w:firstLineChars="200"/>
              <w:jc w:val="center"/>
              <w:outlineLvl w:val="9"/>
              <w:rPr>
                <w:rFonts w:hint="default" w:ascii="Times New Roman" w:hAnsi="Times New Roman" w:eastAsia="黑体" w:cs="Times New Roman"/>
                <w:snapToGrid w:val="0"/>
                <w:color w:val="auto"/>
                <w:sz w:val="24"/>
                <w:highlight w:val="none"/>
                <w:lang w:val="en-US" w:eastAsia="zh-CN" w:bidi="ar"/>
              </w:rPr>
            </w:pPr>
            <w:r>
              <w:rPr>
                <w:rFonts w:hint="default" w:ascii="Times New Roman" w:hAnsi="Times New Roman" w:eastAsia="黑体" w:cs="Times New Roman"/>
                <w:color w:val="auto"/>
                <w:sz w:val="28"/>
                <w:szCs w:val="28"/>
                <w:highlight w:val="none"/>
                <w:lang w:bidi="ar"/>
              </w:rPr>
              <w:t>专栏</w:t>
            </w:r>
            <w:r>
              <w:rPr>
                <w:rFonts w:hint="default" w:ascii="Times New Roman" w:hAnsi="Times New Roman" w:eastAsia="黑体" w:cs="Times New Roman"/>
                <w:color w:val="auto"/>
                <w:sz w:val="28"/>
                <w:szCs w:val="28"/>
                <w:highlight w:val="none"/>
                <w:lang w:val="en-US" w:eastAsia="zh-CN" w:bidi="ar"/>
              </w:rPr>
              <w:t>5</w:t>
            </w:r>
            <w:r>
              <w:rPr>
                <w:rFonts w:hint="default" w:ascii="Times New Roman" w:hAnsi="Times New Roman" w:eastAsia="黑体" w:cs="Times New Roman"/>
                <w:color w:val="auto"/>
                <w:sz w:val="28"/>
                <w:szCs w:val="28"/>
                <w:highlight w:val="none"/>
                <w:lang w:bidi="ar"/>
              </w:rPr>
              <w:t xml:space="preserve">  </w:t>
            </w:r>
            <w:r>
              <w:rPr>
                <w:rFonts w:hint="default" w:ascii="Times New Roman" w:hAnsi="Times New Roman" w:eastAsia="黑体" w:cs="Times New Roman"/>
                <w:color w:val="auto"/>
                <w:sz w:val="28"/>
                <w:szCs w:val="28"/>
                <w:highlight w:val="none"/>
                <w:lang w:val="en-US" w:eastAsia="zh-CN" w:bidi="ar"/>
              </w:rPr>
              <w:t>医保</w:t>
            </w:r>
            <w:r>
              <w:rPr>
                <w:rFonts w:hint="default" w:ascii="Times New Roman" w:hAnsi="Times New Roman" w:eastAsia="黑体" w:cs="Times New Roman"/>
                <w:color w:val="auto"/>
                <w:sz w:val="28"/>
                <w:szCs w:val="28"/>
                <w:highlight w:val="none"/>
                <w:lang w:bidi="ar"/>
              </w:rPr>
              <w:t>智能监管</w:t>
            </w:r>
            <w:r>
              <w:rPr>
                <w:rFonts w:hint="default" w:ascii="Times New Roman" w:hAnsi="Times New Roman" w:eastAsia="黑体" w:cs="Times New Roman"/>
                <w:color w:val="auto"/>
                <w:sz w:val="28"/>
                <w:szCs w:val="28"/>
                <w:highlight w:val="none"/>
                <w:lang w:val="en-US" w:eastAsia="zh-CN" w:bidi="ar"/>
              </w:rPr>
              <w:t>模型</w:t>
            </w:r>
            <w:r>
              <w:rPr>
                <w:rFonts w:hint="default" w:ascii="Times New Roman" w:hAnsi="Times New Roman" w:eastAsia="黑体" w:cs="Times New Roman"/>
                <w:color w:val="auto"/>
                <w:sz w:val="28"/>
                <w:szCs w:val="28"/>
                <w:highlight w:val="none"/>
                <w:lang w:bidi="ar"/>
              </w:rPr>
              <w:t>建设</w:t>
            </w:r>
          </w:p>
        </w:tc>
      </w:tr>
      <w:tr w14:paraId="50A7C49F">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90" w:hRule="atLeast"/>
          <w:jc w:val="center"/>
        </w:trPr>
        <w:tc>
          <w:tcPr>
            <w:tcW w:w="5000" w:type="pct"/>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2948E23F">
            <w:pPr>
              <w:keepNext w:val="0"/>
              <w:keepLines w:val="0"/>
              <w:suppressLineNumbers w:val="0"/>
              <w:spacing w:before="0" w:beforeAutospacing="0" w:after="0" w:afterAutospacing="0" w:line="400" w:lineRule="exact"/>
              <w:ind w:left="0" w:right="0" w:firstLine="420" w:firstLineChars="200"/>
              <w:rPr>
                <w:rFonts w:hint="eastAsia" w:ascii="宋体" w:hAnsi="宋体" w:eastAsia="宋体" w:cs="宋体"/>
                <w:snapToGrid w:val="0"/>
                <w:color w:val="auto"/>
                <w:sz w:val="21"/>
                <w:szCs w:val="21"/>
                <w:highlight w:val="none"/>
                <w:lang w:bidi="ar"/>
              </w:rPr>
            </w:pPr>
            <w:r>
              <w:rPr>
                <w:rFonts w:hint="eastAsia" w:ascii="宋体" w:hAnsi="宋体" w:eastAsia="宋体" w:cs="宋体"/>
                <w:snapToGrid w:val="0"/>
                <w:color w:val="auto"/>
                <w:sz w:val="21"/>
                <w:szCs w:val="21"/>
                <w:highlight w:val="none"/>
                <w:lang w:bidi="ar"/>
              </w:rPr>
              <w:t>1.住院监管模型。重点筛查虚假住院、异常住院、分解住院等问题线索。</w:t>
            </w:r>
          </w:p>
          <w:p w14:paraId="291D6C02">
            <w:pPr>
              <w:keepNext w:val="0"/>
              <w:keepLines w:val="0"/>
              <w:suppressLineNumbers w:val="0"/>
              <w:spacing w:before="0" w:beforeAutospacing="0" w:after="0" w:afterAutospacing="0" w:line="400" w:lineRule="exact"/>
              <w:ind w:left="0" w:right="0" w:firstLine="420" w:firstLineChars="200"/>
              <w:rPr>
                <w:rFonts w:hint="eastAsia" w:ascii="宋体" w:hAnsi="宋体" w:eastAsia="宋体" w:cs="宋体"/>
                <w:snapToGrid w:val="0"/>
                <w:color w:val="auto"/>
                <w:sz w:val="21"/>
                <w:szCs w:val="21"/>
                <w:highlight w:val="none"/>
                <w:lang w:bidi="ar"/>
              </w:rPr>
            </w:pPr>
            <w:r>
              <w:rPr>
                <w:rFonts w:hint="eastAsia" w:ascii="宋体" w:hAnsi="宋体" w:eastAsia="宋体" w:cs="宋体"/>
                <w:snapToGrid w:val="0"/>
                <w:color w:val="auto"/>
                <w:sz w:val="21"/>
                <w:szCs w:val="21"/>
                <w:highlight w:val="none"/>
                <w:lang w:bidi="ar"/>
              </w:rPr>
              <w:t>2.门诊监管模型。筛查超量开药、虚构门诊服务等问题线索，重点监控慢特病门诊费用异常。</w:t>
            </w:r>
          </w:p>
          <w:p w14:paraId="6FBF5F87">
            <w:pPr>
              <w:keepNext w:val="0"/>
              <w:keepLines w:val="0"/>
              <w:suppressLineNumbers w:val="0"/>
              <w:spacing w:before="0" w:beforeAutospacing="0" w:after="0" w:afterAutospacing="0" w:line="400" w:lineRule="exact"/>
              <w:ind w:left="0" w:right="0" w:firstLine="420" w:firstLineChars="200"/>
              <w:rPr>
                <w:rFonts w:hint="eastAsia" w:ascii="宋体" w:hAnsi="宋体" w:eastAsia="宋体" w:cs="宋体"/>
                <w:snapToGrid w:val="0"/>
                <w:color w:val="auto"/>
                <w:sz w:val="21"/>
                <w:szCs w:val="21"/>
                <w:highlight w:val="none"/>
                <w:lang w:bidi="ar"/>
              </w:rPr>
            </w:pPr>
            <w:r>
              <w:rPr>
                <w:rFonts w:hint="eastAsia" w:ascii="宋体" w:hAnsi="宋体" w:eastAsia="宋体" w:cs="宋体"/>
                <w:snapToGrid w:val="0"/>
                <w:color w:val="auto"/>
                <w:sz w:val="21"/>
                <w:szCs w:val="21"/>
                <w:highlight w:val="none"/>
                <w:lang w:bidi="ar"/>
              </w:rPr>
              <w:t>3.药店监管模型。筛查空刷套刷医保凭证、套现、诱导冲顶消费等问题线索。</w:t>
            </w:r>
          </w:p>
          <w:p w14:paraId="35AB84E3">
            <w:pPr>
              <w:keepNext w:val="0"/>
              <w:keepLines w:val="0"/>
              <w:suppressLineNumbers w:val="0"/>
              <w:spacing w:before="0" w:beforeAutospacing="0" w:after="0" w:afterAutospacing="0" w:line="400" w:lineRule="exact"/>
              <w:ind w:left="0" w:right="0" w:firstLine="420" w:firstLineChars="200"/>
              <w:rPr>
                <w:rFonts w:hint="eastAsia" w:ascii="宋体" w:hAnsi="宋体" w:eastAsia="宋体" w:cs="宋体"/>
                <w:snapToGrid w:val="0"/>
                <w:color w:val="auto"/>
                <w:sz w:val="21"/>
                <w:szCs w:val="21"/>
                <w:highlight w:val="none"/>
                <w:lang w:bidi="ar"/>
              </w:rPr>
            </w:pPr>
            <w:r>
              <w:rPr>
                <w:rFonts w:hint="eastAsia" w:ascii="宋体" w:hAnsi="宋体" w:eastAsia="宋体" w:cs="宋体"/>
                <w:snapToGrid w:val="0"/>
                <w:color w:val="auto"/>
                <w:sz w:val="21"/>
                <w:szCs w:val="21"/>
                <w:highlight w:val="none"/>
                <w:lang w:bidi="ar"/>
              </w:rPr>
              <w:t>4.药品耗材监管模型。探索高值药品、耗材滥用或超常规使用预警。</w:t>
            </w:r>
          </w:p>
          <w:p w14:paraId="0ECCFA05">
            <w:pPr>
              <w:keepNext w:val="0"/>
              <w:keepLines w:val="0"/>
              <w:suppressLineNumbers w:val="0"/>
              <w:spacing w:before="0" w:beforeAutospacing="0" w:after="0" w:afterAutospacing="0" w:line="400" w:lineRule="exact"/>
              <w:ind w:left="0" w:right="0" w:firstLine="420" w:firstLineChars="200"/>
              <w:rPr>
                <w:rFonts w:hint="eastAsia" w:ascii="宋体" w:hAnsi="宋体" w:eastAsia="宋体" w:cs="宋体"/>
                <w:snapToGrid w:val="0"/>
                <w:color w:val="auto"/>
                <w:sz w:val="21"/>
                <w:szCs w:val="21"/>
                <w:highlight w:val="none"/>
                <w:lang w:bidi="ar"/>
              </w:rPr>
            </w:pPr>
            <w:r>
              <w:rPr>
                <w:rFonts w:hint="eastAsia" w:ascii="宋体" w:hAnsi="宋体" w:eastAsia="宋体" w:cs="宋体"/>
                <w:snapToGrid w:val="0"/>
                <w:color w:val="auto"/>
                <w:sz w:val="21"/>
                <w:szCs w:val="21"/>
                <w:highlight w:val="none"/>
                <w:lang w:bidi="ar"/>
              </w:rPr>
              <w:t>5.参保人监管模型。建立参保人就医购药画像，识别冒用医保身份，监测参保人短期多次跨院就医购药疑点。</w:t>
            </w:r>
          </w:p>
          <w:p w14:paraId="5CF8C677">
            <w:pPr>
              <w:keepNext w:val="0"/>
              <w:keepLines w:val="0"/>
              <w:suppressLineNumbers w:val="0"/>
              <w:spacing w:before="0" w:beforeAutospacing="0" w:after="0" w:afterAutospacing="0" w:line="400" w:lineRule="exact"/>
              <w:ind w:left="0" w:right="0" w:firstLine="420" w:firstLineChars="200"/>
              <w:rPr>
                <w:rFonts w:hint="eastAsia" w:ascii="宋体" w:hAnsi="宋体" w:eastAsia="宋体" w:cs="宋体"/>
                <w:snapToGrid w:val="0"/>
                <w:color w:val="auto"/>
                <w:sz w:val="21"/>
                <w:szCs w:val="21"/>
                <w:highlight w:val="none"/>
                <w:lang w:bidi="ar"/>
              </w:rPr>
            </w:pPr>
            <w:r>
              <w:rPr>
                <w:rFonts w:hint="eastAsia" w:ascii="宋体" w:hAnsi="宋体" w:eastAsia="宋体" w:cs="宋体"/>
                <w:snapToGrid w:val="0"/>
                <w:color w:val="auto"/>
                <w:sz w:val="21"/>
                <w:szCs w:val="21"/>
                <w:highlight w:val="none"/>
                <w:lang w:bidi="ar"/>
              </w:rPr>
              <w:t>6.药品追溯码监管模型。持续完善基于药品追溯码的监管模型，查处倒卖医保药品等违法违规行为，进一步拓展药品追溯码的多场景应用。</w:t>
            </w:r>
          </w:p>
          <w:p w14:paraId="39298F58">
            <w:pPr>
              <w:keepNext w:val="0"/>
              <w:keepLines w:val="0"/>
              <w:suppressLineNumbers w:val="0"/>
              <w:spacing w:before="0" w:beforeAutospacing="0" w:after="0" w:afterAutospacing="0" w:line="400" w:lineRule="exact"/>
              <w:ind w:left="0" w:right="0" w:firstLine="420" w:firstLineChars="200"/>
              <w:rPr>
                <w:rFonts w:hint="eastAsia" w:ascii="宋体" w:hAnsi="宋体" w:eastAsia="宋体" w:cs="宋体"/>
                <w:snapToGrid w:val="0"/>
                <w:color w:val="auto"/>
                <w:sz w:val="21"/>
                <w:szCs w:val="21"/>
                <w:highlight w:val="none"/>
                <w:lang w:bidi="ar"/>
              </w:rPr>
            </w:pPr>
            <w:r>
              <w:rPr>
                <w:rFonts w:hint="eastAsia" w:ascii="宋体" w:hAnsi="宋体" w:eastAsia="宋体" w:cs="宋体"/>
                <w:snapToGrid w:val="0"/>
                <w:color w:val="auto"/>
                <w:sz w:val="21"/>
                <w:szCs w:val="21"/>
                <w:highlight w:val="none"/>
                <w:lang w:bidi="ar"/>
              </w:rPr>
              <w:t>7.影像云监管模型。基于影像云数据，探索识别虚假检查、不合理重复检查等问题。</w:t>
            </w:r>
          </w:p>
          <w:p w14:paraId="4EA730D6">
            <w:pPr>
              <w:keepNext w:val="0"/>
              <w:keepLines w:val="0"/>
              <w:suppressLineNumbers w:val="0"/>
              <w:spacing w:before="0" w:beforeAutospacing="0" w:after="0" w:afterAutospacing="0" w:line="400" w:lineRule="exact"/>
              <w:ind w:left="0" w:right="0" w:firstLine="420" w:firstLineChars="200"/>
              <w:rPr>
                <w:rFonts w:hint="eastAsia" w:ascii="宋体" w:hAnsi="宋体" w:eastAsia="宋体" w:cs="宋体"/>
                <w:snapToGrid w:val="0"/>
                <w:color w:val="auto"/>
                <w:sz w:val="21"/>
                <w:szCs w:val="21"/>
                <w:highlight w:val="none"/>
                <w:lang w:bidi="ar"/>
              </w:rPr>
            </w:pPr>
            <w:r>
              <w:rPr>
                <w:rFonts w:hint="eastAsia" w:ascii="宋体" w:hAnsi="宋体" w:eastAsia="宋体" w:cs="宋体"/>
                <w:snapToGrid w:val="0"/>
                <w:color w:val="auto"/>
                <w:sz w:val="21"/>
                <w:szCs w:val="21"/>
                <w:highlight w:val="none"/>
                <w:lang w:bidi="ar"/>
              </w:rPr>
              <w:t>8.DRG/DIP监管模型。基于全口径临床诊疗数据，探索筛查高编分组、高套分值、分解住院等问题。</w:t>
            </w:r>
          </w:p>
          <w:p w14:paraId="1286D221">
            <w:pPr>
              <w:keepNext w:val="0"/>
              <w:keepLines w:val="0"/>
              <w:suppressLineNumbers w:val="0"/>
              <w:spacing w:before="0" w:beforeAutospacing="0" w:after="0" w:afterAutospacing="0" w:line="400" w:lineRule="exact"/>
              <w:ind w:left="0" w:right="0" w:firstLine="420" w:firstLineChars="200"/>
              <w:rPr>
                <w:rFonts w:hint="default" w:ascii="Times New Roman" w:hAnsi="Times New Roman" w:eastAsia="宋体" w:cs="Times New Roman"/>
                <w:snapToGrid w:val="0"/>
                <w:color w:val="auto"/>
                <w:sz w:val="24"/>
                <w:highlight w:val="none"/>
                <w:lang w:val="en-US" w:eastAsia="zh-CN" w:bidi="ar"/>
              </w:rPr>
            </w:pPr>
            <w:r>
              <w:rPr>
                <w:rFonts w:hint="eastAsia" w:ascii="宋体" w:hAnsi="宋体" w:eastAsia="宋体" w:cs="宋体"/>
                <w:snapToGrid w:val="0"/>
                <w:color w:val="auto"/>
                <w:sz w:val="21"/>
                <w:szCs w:val="21"/>
                <w:highlight w:val="none"/>
                <w:lang w:bidi="ar"/>
              </w:rPr>
              <w:t>9.异地就医监管模型。探索筛查异地就医异常线索。</w:t>
            </w:r>
          </w:p>
        </w:tc>
      </w:tr>
    </w:tbl>
    <w:p w14:paraId="4FDE4C38">
      <w:pPr>
        <w:pStyle w:val="5"/>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both"/>
        <w:textAlignment w:val="auto"/>
        <w:outlineLvl w:val="1"/>
        <w:rPr>
          <w:rFonts w:hint="eastAsia" w:ascii="宋体" w:hAnsi="宋体" w:eastAsia="楷体_GB2312" w:cs="Times New Roman"/>
          <w:b w:val="0"/>
          <w:bCs/>
          <w:color w:val="auto"/>
          <w:sz w:val="32"/>
          <w:szCs w:val="36"/>
          <w:highlight w:val="none"/>
          <w:lang w:eastAsia="zh-CN" w:bidi="ar"/>
        </w:rPr>
      </w:pPr>
      <w:r>
        <w:rPr>
          <w:rFonts w:hint="eastAsia" w:ascii="宋体" w:hAnsi="宋体" w:eastAsia="楷体_GB2312" w:cs="Times New Roman"/>
          <w:b w:val="0"/>
          <w:bCs/>
          <w:color w:val="auto"/>
          <w:sz w:val="32"/>
          <w:szCs w:val="36"/>
          <w:highlight w:val="none"/>
          <w:lang w:eastAsia="zh-CN" w:bidi="ar"/>
        </w:rPr>
        <w:t>（十九）持续健全基金监管长效机制</w:t>
      </w:r>
    </w:p>
    <w:p w14:paraId="5ACEECE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持续推动落实《医疗保障基金使用监督管理条例》及其实施细则，规范裁量基准，严格规范公正文明执法。强化医保行政部门监管责任、医保经办机构审核检查责任、定点医药机构自我管理责任、行业部门主管责任、属地监管责任等，完善常态化监管机制。全面实施医保支付资格管理制度，探索建立医药机构和参保人员信用管理机制。拓宽举报渠道，规范线索办理流程，落实举报奖励政策。分类开展警示教育。</w:t>
      </w:r>
    </w:p>
    <w:p w14:paraId="4C0B5E3C">
      <w:pPr>
        <w:pStyle w:val="4"/>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both"/>
        <w:textAlignment w:val="auto"/>
        <w:outlineLvl w:val="0"/>
        <w:rPr>
          <w:rFonts w:hint="eastAsia" w:ascii="宋体" w:hAnsi="宋体" w:eastAsia="黑体" w:cs="Times New Roman"/>
          <w:b w:val="0"/>
          <w:bCs w:val="0"/>
          <w:color w:val="auto"/>
          <w:kern w:val="44"/>
          <w:sz w:val="32"/>
          <w:szCs w:val="48"/>
          <w:highlight w:val="none"/>
          <w:lang w:bidi="ar"/>
        </w:rPr>
      </w:pPr>
      <w:bookmarkStart w:id="1098" w:name="_Toc23719"/>
      <w:bookmarkStart w:id="1099" w:name="_Toc29072"/>
      <w:bookmarkStart w:id="1100" w:name="_Toc5707"/>
      <w:bookmarkStart w:id="1101" w:name="_Toc13440"/>
      <w:bookmarkStart w:id="1102" w:name="_Toc14434"/>
      <w:r>
        <w:rPr>
          <w:rFonts w:hint="default" w:ascii="宋体" w:hAnsi="宋体" w:eastAsia="黑体" w:cs="Times New Roman"/>
          <w:b w:val="0"/>
          <w:bCs w:val="0"/>
          <w:color w:val="auto"/>
          <w:kern w:val="44"/>
          <w:sz w:val="32"/>
          <w:szCs w:val="48"/>
          <w:highlight w:val="none"/>
          <w:lang w:val="en-US" w:eastAsia="zh-CN" w:bidi="ar"/>
        </w:rPr>
        <w:t>六、</w:t>
      </w:r>
      <w:r>
        <w:rPr>
          <w:rFonts w:hint="eastAsia" w:ascii="宋体" w:hAnsi="宋体" w:eastAsia="黑体" w:cs="Times New Roman"/>
          <w:b w:val="0"/>
          <w:bCs w:val="0"/>
          <w:color w:val="auto"/>
          <w:kern w:val="44"/>
          <w:sz w:val="32"/>
          <w:szCs w:val="48"/>
          <w:highlight w:val="none"/>
          <w:lang w:bidi="ar"/>
        </w:rPr>
        <w:t>优化医疗保障公共管理服务</w:t>
      </w:r>
      <w:bookmarkEnd w:id="1098"/>
      <w:bookmarkEnd w:id="1099"/>
      <w:bookmarkEnd w:id="1100"/>
      <w:bookmarkEnd w:id="1101"/>
      <w:bookmarkEnd w:id="1102"/>
    </w:p>
    <w:p w14:paraId="35318AD6">
      <w:pPr>
        <w:pStyle w:val="5"/>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both"/>
        <w:textAlignment w:val="auto"/>
        <w:outlineLvl w:val="1"/>
        <w:rPr>
          <w:rFonts w:hint="eastAsia" w:ascii="宋体" w:hAnsi="宋体" w:eastAsia="楷体_GB2312" w:cs="Times New Roman"/>
          <w:b w:val="0"/>
          <w:bCs/>
          <w:color w:val="auto"/>
          <w:sz w:val="32"/>
          <w:szCs w:val="36"/>
          <w:highlight w:val="none"/>
          <w:lang w:eastAsia="zh-CN" w:bidi="ar"/>
        </w:rPr>
      </w:pPr>
      <w:bookmarkStart w:id="1103" w:name="_Toc18059"/>
      <w:bookmarkStart w:id="1104" w:name="_Toc14446"/>
      <w:r>
        <w:rPr>
          <w:rFonts w:hint="default" w:ascii="宋体" w:hAnsi="宋体" w:eastAsia="楷体_GB2312" w:cs="Times New Roman"/>
          <w:b w:val="0"/>
          <w:bCs/>
          <w:color w:val="auto"/>
          <w:sz w:val="32"/>
          <w:szCs w:val="36"/>
          <w:highlight w:val="none"/>
          <w:lang w:eastAsia="zh-CN" w:bidi="ar"/>
        </w:rPr>
        <w:t>（</w:t>
      </w:r>
      <w:r>
        <w:rPr>
          <w:rFonts w:hint="eastAsia" w:ascii="宋体" w:hAnsi="宋体" w:eastAsia="楷体_GB2312" w:cs="Times New Roman"/>
          <w:b w:val="0"/>
          <w:bCs/>
          <w:color w:val="auto"/>
          <w:sz w:val="32"/>
          <w:szCs w:val="36"/>
          <w:highlight w:val="none"/>
          <w:lang w:val="en-US" w:eastAsia="zh-CN" w:bidi="ar"/>
        </w:rPr>
        <w:t>二十</w:t>
      </w:r>
      <w:r>
        <w:rPr>
          <w:rFonts w:hint="default" w:ascii="宋体" w:hAnsi="宋体" w:eastAsia="楷体_GB2312" w:cs="Times New Roman"/>
          <w:b w:val="0"/>
          <w:bCs/>
          <w:color w:val="auto"/>
          <w:sz w:val="32"/>
          <w:szCs w:val="36"/>
          <w:highlight w:val="none"/>
          <w:lang w:eastAsia="zh-CN" w:bidi="ar"/>
        </w:rPr>
        <w:t>）</w:t>
      </w:r>
      <w:r>
        <w:rPr>
          <w:rFonts w:hint="eastAsia" w:ascii="宋体" w:hAnsi="宋体" w:eastAsia="楷体_GB2312" w:cs="Times New Roman"/>
          <w:b w:val="0"/>
          <w:bCs/>
          <w:color w:val="auto"/>
          <w:sz w:val="32"/>
          <w:szCs w:val="36"/>
          <w:highlight w:val="none"/>
          <w:lang w:eastAsia="zh-CN" w:bidi="ar"/>
        </w:rPr>
        <w:t>打造优质高效的医保经办服务体系</w:t>
      </w:r>
      <w:bookmarkEnd w:id="1103"/>
      <w:bookmarkEnd w:id="1104"/>
    </w:p>
    <w:p w14:paraId="229AABE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构建</w:t>
      </w:r>
      <w:r>
        <w:rPr>
          <w:rFonts w:hint="default" w:ascii="仿宋_GB2312" w:hAnsi="仿宋_GB2312" w:eastAsia="仿宋_GB2312" w:cs="仿宋_GB2312"/>
          <w:color w:val="auto"/>
          <w:sz w:val="32"/>
          <w:szCs w:val="32"/>
          <w:highlight w:val="none"/>
          <w:lang w:val="en-US" w:eastAsia="zh-CN"/>
        </w:rPr>
        <w:t>与多层次医疗保障体系相适应的医保经办</w:t>
      </w:r>
      <w:r>
        <w:rPr>
          <w:rFonts w:hint="eastAsia" w:ascii="仿宋_GB2312" w:hAnsi="仿宋_GB2312" w:eastAsia="仿宋_GB2312" w:cs="仿宋_GB2312"/>
          <w:color w:val="auto"/>
          <w:sz w:val="32"/>
          <w:szCs w:val="32"/>
          <w:highlight w:val="none"/>
          <w:lang w:val="en-US" w:eastAsia="zh-CN"/>
        </w:rPr>
        <w:t>服务</w:t>
      </w:r>
      <w:r>
        <w:rPr>
          <w:rFonts w:hint="default" w:ascii="仿宋_GB2312" w:hAnsi="仿宋_GB2312" w:eastAsia="仿宋_GB2312" w:cs="仿宋_GB2312"/>
          <w:color w:val="auto"/>
          <w:sz w:val="32"/>
          <w:szCs w:val="32"/>
          <w:highlight w:val="none"/>
          <w:lang w:val="en-US" w:eastAsia="zh-CN"/>
        </w:rPr>
        <w:t>体系，巩固提升基本医保经办服务水平。建立健全与省级统筹相匹配的经办服务体系。完善</w:t>
      </w:r>
      <w:r>
        <w:rPr>
          <w:rFonts w:hint="eastAsia" w:ascii="仿宋_GB2312" w:hAnsi="仿宋_GB2312" w:eastAsia="仿宋_GB2312" w:cs="仿宋_GB2312"/>
          <w:color w:val="auto"/>
          <w:sz w:val="32"/>
          <w:szCs w:val="32"/>
          <w:highlight w:val="none"/>
          <w:lang w:val="en-US" w:eastAsia="zh-CN"/>
        </w:rPr>
        <w:t>省、市、县、乡镇（街道）、村（社区）</w:t>
      </w:r>
      <w:r>
        <w:rPr>
          <w:rFonts w:hint="default" w:ascii="仿宋_GB2312" w:hAnsi="仿宋_GB2312" w:eastAsia="仿宋_GB2312" w:cs="仿宋_GB2312"/>
          <w:color w:val="auto"/>
          <w:sz w:val="32"/>
          <w:szCs w:val="32"/>
          <w:highlight w:val="none"/>
          <w:lang w:val="en-US" w:eastAsia="zh-CN"/>
        </w:rPr>
        <w:t>医保公共服务网络，推动相关部门将医保服务事项纳入乡镇（街道）履职事项清单，探索实施与医疗机构、零售药店、金融机构、高校等资源共用的协同服务模式。</w:t>
      </w:r>
      <w:r>
        <w:rPr>
          <w:rFonts w:hint="eastAsia" w:ascii="仿宋_GB2312" w:hAnsi="仿宋_GB2312" w:eastAsia="仿宋_GB2312" w:cs="仿宋_GB2312"/>
          <w:color w:val="auto"/>
          <w:sz w:val="32"/>
          <w:szCs w:val="32"/>
          <w:highlight w:val="none"/>
          <w:lang w:val="en-US" w:eastAsia="zh-CN"/>
        </w:rPr>
        <w:t>推进医保强基工作</w:t>
      </w:r>
      <w:r>
        <w:rPr>
          <w:rFonts w:hint="default" w:ascii="仿宋_GB2312" w:hAnsi="仿宋_GB2312" w:eastAsia="仿宋_GB2312" w:cs="仿宋_GB2312"/>
          <w:color w:val="auto"/>
          <w:sz w:val="32"/>
          <w:szCs w:val="32"/>
          <w:highlight w:val="none"/>
          <w:lang w:val="en-US" w:eastAsia="zh-CN"/>
        </w:rPr>
        <w:t>，鼓励</w:t>
      </w:r>
      <w:r>
        <w:rPr>
          <w:rFonts w:hint="eastAsia" w:ascii="仿宋_GB2312" w:hAnsi="仿宋_GB2312" w:eastAsia="仿宋_GB2312" w:cs="仿宋_GB2312"/>
          <w:color w:val="auto"/>
          <w:sz w:val="32"/>
          <w:szCs w:val="32"/>
          <w:highlight w:val="none"/>
          <w:lang w:val="en-US" w:eastAsia="zh-CN"/>
        </w:rPr>
        <w:t>支持</w:t>
      </w:r>
      <w:r>
        <w:rPr>
          <w:rFonts w:hint="default" w:ascii="仿宋_GB2312" w:hAnsi="仿宋_GB2312" w:eastAsia="仿宋_GB2312" w:cs="仿宋_GB2312"/>
          <w:color w:val="auto"/>
          <w:sz w:val="32"/>
          <w:szCs w:val="32"/>
          <w:highlight w:val="none"/>
          <w:lang w:val="en-US" w:eastAsia="zh-CN"/>
        </w:rPr>
        <w:t>基层医保服务站点配置终端设备，促进医保便民服务拓展延伸</w:t>
      </w:r>
      <w:r>
        <w:rPr>
          <w:rFonts w:hint="eastAsia" w:ascii="仿宋_GB2312" w:hAnsi="仿宋_GB2312" w:eastAsia="仿宋_GB2312" w:cs="仿宋_GB2312"/>
          <w:color w:val="auto"/>
          <w:sz w:val="32"/>
          <w:szCs w:val="32"/>
          <w:highlight w:val="none"/>
          <w:lang w:val="en-US" w:eastAsia="zh-CN"/>
        </w:rPr>
        <w:t>，提升医保帮办代办服务质效</w:t>
      </w:r>
      <w:r>
        <w:rPr>
          <w:rFonts w:hint="default" w:ascii="仿宋_GB2312" w:hAnsi="仿宋_GB2312" w:eastAsia="仿宋_GB2312" w:cs="仿宋_GB2312"/>
          <w:color w:val="auto"/>
          <w:sz w:val="32"/>
          <w:szCs w:val="32"/>
          <w:highlight w:val="none"/>
          <w:lang w:val="en-US" w:eastAsia="zh-CN"/>
        </w:rPr>
        <w:t>。完善医保基金预付、结算清算等机制，逐步调整至每年3月底前完成清算，清算资金占全年基金拨付比例逐步降低至3%左右。巩固即时结算，扩围日拨付范围，协同推进直接结算、同步结算。做好医保定点医药机构相关人员医保支付资格管理。建立基金结算清算运行监测、风险预警机制</w:t>
      </w:r>
      <w:r>
        <w:rPr>
          <w:rFonts w:hint="eastAsia" w:ascii="仿宋_GB2312" w:hAnsi="仿宋_GB2312" w:eastAsia="仿宋_GB2312" w:cs="仿宋_GB2312"/>
          <w:color w:val="auto"/>
          <w:sz w:val="32"/>
          <w:szCs w:val="32"/>
          <w:highlight w:val="none"/>
          <w:lang w:val="en-US" w:eastAsia="zh-CN"/>
        </w:rPr>
        <w:t>，研判结算清算工作质效，赋能医药机构发展。依托大数据与人工智能，探索推进“AI初筛、人工精核”新模式，建立经办智能审核规则共建共享机制，持续提升经办审核和核查能力，同时运用数据分析开展定点机构风险评级，强化经办日常、专项、重点核查</w:t>
      </w:r>
      <w:r>
        <w:rPr>
          <w:rFonts w:hint="default" w:ascii="仿宋_GB2312" w:hAnsi="仿宋_GB2312" w:eastAsia="仿宋_GB2312" w:cs="仿宋_GB2312"/>
          <w:color w:val="auto"/>
          <w:sz w:val="32"/>
          <w:szCs w:val="32"/>
          <w:highlight w:val="none"/>
          <w:lang w:val="en-US" w:eastAsia="zh-CN"/>
        </w:rPr>
        <w:t>。</w:t>
      </w:r>
    </w:p>
    <w:p w14:paraId="4C2F7745">
      <w:pPr>
        <w:pStyle w:val="5"/>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both"/>
        <w:textAlignment w:val="auto"/>
        <w:outlineLvl w:val="1"/>
        <w:rPr>
          <w:rFonts w:hint="eastAsia" w:ascii="宋体" w:hAnsi="宋体" w:eastAsia="楷体_GB2312" w:cs="Times New Roman"/>
          <w:b w:val="0"/>
          <w:bCs/>
          <w:color w:val="auto"/>
          <w:sz w:val="32"/>
          <w:szCs w:val="36"/>
          <w:highlight w:val="none"/>
          <w:lang w:val="en-US" w:eastAsia="zh-CN" w:bidi="ar"/>
        </w:rPr>
      </w:pPr>
      <w:bookmarkStart w:id="1105" w:name="_Toc23281"/>
      <w:bookmarkStart w:id="1106" w:name="_Toc28199"/>
      <w:r>
        <w:rPr>
          <w:rFonts w:hint="eastAsia" w:ascii="宋体" w:hAnsi="宋体" w:eastAsia="楷体_GB2312" w:cs="Times New Roman"/>
          <w:b w:val="0"/>
          <w:bCs/>
          <w:color w:val="auto"/>
          <w:sz w:val="32"/>
          <w:szCs w:val="36"/>
          <w:highlight w:val="none"/>
          <w:lang w:val="en-US" w:eastAsia="zh-CN" w:bidi="ar"/>
        </w:rPr>
        <w:t>（二十一</w:t>
      </w:r>
      <w:r>
        <w:rPr>
          <w:rFonts w:hint="default" w:ascii="宋体" w:hAnsi="宋体" w:eastAsia="楷体_GB2312" w:cs="Times New Roman"/>
          <w:b w:val="0"/>
          <w:bCs/>
          <w:color w:val="auto"/>
          <w:sz w:val="32"/>
          <w:szCs w:val="36"/>
          <w:highlight w:val="none"/>
          <w:lang w:val="en-US" w:eastAsia="zh-CN" w:bidi="ar"/>
        </w:rPr>
        <w:t>）</w:t>
      </w:r>
      <w:r>
        <w:rPr>
          <w:rFonts w:hint="eastAsia" w:ascii="宋体" w:hAnsi="宋体" w:eastAsia="楷体_GB2312" w:cs="Times New Roman"/>
          <w:b w:val="0"/>
          <w:bCs/>
          <w:color w:val="auto"/>
          <w:sz w:val="32"/>
          <w:szCs w:val="36"/>
          <w:highlight w:val="none"/>
          <w:lang w:val="en-US" w:eastAsia="zh-CN" w:bidi="ar"/>
        </w:rPr>
        <w:t>推动公共服务供给多样化便捷化</w:t>
      </w:r>
      <w:bookmarkEnd w:id="1105"/>
      <w:bookmarkEnd w:id="1106"/>
    </w:p>
    <w:p w14:paraId="0069AF5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color w:val="auto"/>
          <w:sz w:val="32"/>
          <w:szCs w:val="32"/>
          <w:highlight w:val="none"/>
          <w:lang w:val="en-US" w:eastAsia="zh-CN"/>
        </w:rPr>
      </w:pPr>
      <w:r>
        <w:rPr>
          <w:rFonts w:hint="default" w:ascii="仿宋_GB2312" w:hAnsi="仿宋_GB2312" w:eastAsia="仿宋_GB2312" w:cs="仿宋_GB2312"/>
          <w:color w:val="auto"/>
          <w:sz w:val="32"/>
          <w:szCs w:val="32"/>
          <w:highlight w:val="none"/>
          <w:lang w:val="en-US" w:eastAsia="zh-CN"/>
        </w:rPr>
        <w:t>动态管理经办政务服务事项清单，深化医保领域“高效办成一件事”。提升医保经办跨区域协作</w:t>
      </w:r>
      <w:r>
        <w:rPr>
          <w:rFonts w:hint="eastAsia" w:ascii="仿宋_GB2312" w:hAnsi="仿宋_GB2312" w:eastAsia="仿宋_GB2312" w:cs="仿宋_GB2312"/>
          <w:color w:val="auto"/>
          <w:sz w:val="32"/>
          <w:szCs w:val="32"/>
          <w:highlight w:val="none"/>
          <w:lang w:val="en-US" w:eastAsia="zh-CN"/>
        </w:rPr>
        <w:t>能力</w:t>
      </w:r>
      <w:r>
        <w:rPr>
          <w:rFonts w:hint="default" w:ascii="仿宋_GB2312" w:hAnsi="仿宋_GB2312" w:eastAsia="仿宋_GB2312" w:cs="仿宋_GB2312"/>
          <w:color w:val="auto"/>
          <w:sz w:val="32"/>
          <w:szCs w:val="32"/>
          <w:highlight w:val="none"/>
          <w:lang w:val="en-US" w:eastAsia="zh-CN"/>
        </w:rPr>
        <w:t>，实现更多高频服务事项“异地可办、就近能办”，大力推动“全省通办”。进一步规范异地就医结算。优化生育保险经办服务，巩固生育津贴发放</w:t>
      </w:r>
      <w:r>
        <w:rPr>
          <w:rFonts w:hint="eastAsia" w:ascii="仿宋_GB2312" w:hAnsi="仿宋_GB2312" w:eastAsia="仿宋_GB2312" w:cs="仿宋_GB2312"/>
          <w:color w:val="auto"/>
          <w:sz w:val="32"/>
          <w:szCs w:val="32"/>
          <w:highlight w:val="none"/>
          <w:lang w:val="en-US" w:eastAsia="zh-CN"/>
        </w:rPr>
        <w:t>到</w:t>
      </w:r>
      <w:r>
        <w:rPr>
          <w:rFonts w:hint="default" w:ascii="仿宋_GB2312" w:hAnsi="仿宋_GB2312" w:eastAsia="仿宋_GB2312" w:cs="仿宋_GB2312"/>
          <w:color w:val="auto"/>
          <w:sz w:val="32"/>
          <w:szCs w:val="32"/>
          <w:highlight w:val="none"/>
          <w:lang w:val="en-US" w:eastAsia="zh-CN"/>
        </w:rPr>
        <w:t>个人、生育医疗费用直接结算，助力建设生育友好型社会。畅通线上线下服务渠道，</w:t>
      </w:r>
      <w:r>
        <w:rPr>
          <w:rFonts w:hint="eastAsia" w:ascii="仿宋_GB2312" w:hAnsi="仿宋_GB2312" w:eastAsia="仿宋_GB2312" w:cs="仿宋_GB2312"/>
          <w:color w:val="auto"/>
          <w:sz w:val="32"/>
          <w:szCs w:val="32"/>
          <w:highlight w:val="none"/>
          <w:lang w:val="en-US" w:eastAsia="zh-CN"/>
        </w:rPr>
        <w:t>进一步完善</w:t>
      </w:r>
      <w:r>
        <w:rPr>
          <w:rFonts w:hint="default" w:ascii="仿宋_GB2312" w:hAnsi="仿宋_GB2312" w:eastAsia="仿宋_GB2312" w:cs="仿宋_GB2312"/>
          <w:color w:val="auto"/>
          <w:sz w:val="32"/>
          <w:szCs w:val="32"/>
          <w:highlight w:val="none"/>
          <w:lang w:val="en-US" w:eastAsia="zh-CN"/>
        </w:rPr>
        <w:t>“自助办”“视频办”“上门办”</w:t>
      </w:r>
      <w:r>
        <w:rPr>
          <w:rFonts w:hint="eastAsia" w:ascii="仿宋_GB2312" w:hAnsi="仿宋_GB2312" w:eastAsia="仿宋_GB2312" w:cs="仿宋_GB2312"/>
          <w:color w:val="auto"/>
          <w:sz w:val="32"/>
          <w:szCs w:val="32"/>
          <w:highlight w:val="none"/>
          <w:lang w:val="en-US" w:eastAsia="zh-CN"/>
        </w:rPr>
        <w:t>等</w:t>
      </w:r>
      <w:r>
        <w:rPr>
          <w:rFonts w:hint="default" w:ascii="仿宋_GB2312" w:hAnsi="仿宋_GB2312" w:eastAsia="仿宋_GB2312" w:cs="仿宋_GB2312"/>
          <w:color w:val="auto"/>
          <w:sz w:val="32"/>
          <w:szCs w:val="32"/>
          <w:highlight w:val="none"/>
          <w:lang w:val="en-US" w:eastAsia="zh-CN"/>
        </w:rPr>
        <w:t>帮办</w:t>
      </w:r>
      <w:r>
        <w:rPr>
          <w:rFonts w:hint="eastAsia" w:ascii="仿宋_GB2312" w:hAnsi="仿宋_GB2312" w:eastAsia="仿宋_GB2312" w:cs="仿宋_GB2312"/>
          <w:color w:val="auto"/>
          <w:sz w:val="32"/>
          <w:szCs w:val="32"/>
          <w:highlight w:val="none"/>
          <w:lang w:val="en-US" w:eastAsia="zh-CN"/>
        </w:rPr>
        <w:t>、</w:t>
      </w:r>
      <w:r>
        <w:rPr>
          <w:rFonts w:hint="default" w:ascii="仿宋_GB2312" w:hAnsi="仿宋_GB2312" w:eastAsia="仿宋_GB2312" w:cs="仿宋_GB2312"/>
          <w:color w:val="auto"/>
          <w:sz w:val="32"/>
          <w:szCs w:val="32"/>
          <w:highlight w:val="none"/>
          <w:lang w:val="en-US" w:eastAsia="zh-CN"/>
        </w:rPr>
        <w:t>代办</w:t>
      </w:r>
      <w:r>
        <w:rPr>
          <w:rFonts w:hint="eastAsia" w:ascii="仿宋_GB2312" w:hAnsi="仿宋_GB2312" w:eastAsia="仿宋_GB2312" w:cs="仿宋_GB2312"/>
          <w:color w:val="auto"/>
          <w:sz w:val="32"/>
          <w:szCs w:val="32"/>
          <w:highlight w:val="none"/>
          <w:lang w:val="en-US" w:eastAsia="zh-CN"/>
        </w:rPr>
        <w:t>服务</w:t>
      </w:r>
      <w:r>
        <w:rPr>
          <w:rFonts w:hint="default" w:ascii="仿宋_GB2312" w:hAnsi="仿宋_GB2312" w:eastAsia="仿宋_GB2312" w:cs="仿宋_GB2312"/>
          <w:color w:val="auto"/>
          <w:sz w:val="32"/>
          <w:szCs w:val="32"/>
          <w:highlight w:val="none"/>
          <w:lang w:val="en-US" w:eastAsia="zh-CN"/>
        </w:rPr>
        <w:t>，优化医保智能客服。全面深化应用刷脸支付、一码支付、移动支付、信用支付</w:t>
      </w:r>
      <w:r>
        <w:rPr>
          <w:rFonts w:hint="eastAsia" w:ascii="仿宋_GB2312" w:hAnsi="仿宋_GB2312" w:eastAsia="仿宋_GB2312" w:cs="仿宋_GB2312"/>
          <w:color w:val="auto"/>
          <w:sz w:val="32"/>
          <w:szCs w:val="32"/>
          <w:highlight w:val="none"/>
          <w:lang w:val="en-US" w:eastAsia="zh-CN"/>
        </w:rPr>
        <w:t>。推进医保钱包应用，实现职工医保个人账户共济使用</w:t>
      </w:r>
      <w:r>
        <w:rPr>
          <w:rFonts w:hint="default" w:ascii="仿宋_GB2312" w:hAnsi="仿宋_GB2312" w:eastAsia="仿宋_GB2312" w:cs="仿宋_GB2312"/>
          <w:color w:val="auto"/>
          <w:sz w:val="32"/>
          <w:szCs w:val="32"/>
          <w:highlight w:val="none"/>
          <w:lang w:val="en-US" w:eastAsia="zh-CN"/>
        </w:rPr>
        <w:t>。针对老年人、儿童、残疾人、困难人员等群体，提供更加贴心便利的医保服务。不断完善大众旅游、文体赛事、冰雪经济等场景的新形态医保服务。</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1"/>
      </w:tblGrid>
      <w:tr w14:paraId="4EDC0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1" w:type="dxa"/>
            <w:tcBorders>
              <w:top w:val="single" w:color="auto" w:sz="4" w:space="0"/>
              <w:left w:val="single" w:color="auto" w:sz="4" w:space="0"/>
              <w:bottom w:val="single" w:color="auto" w:sz="4" w:space="0"/>
              <w:right w:val="single" w:color="auto" w:sz="4" w:space="0"/>
            </w:tcBorders>
            <w:noWrap w:val="0"/>
            <w:vAlign w:val="top"/>
          </w:tcPr>
          <w:p w14:paraId="0AD5AA91">
            <w:pPr>
              <w:pStyle w:val="18"/>
              <w:keepNext w:val="0"/>
              <w:keepLines w:val="0"/>
              <w:widowControl/>
              <w:suppressLineNumbers w:val="0"/>
              <w:shd w:val="clear" w:color="auto" w:fill="FFFFFF"/>
              <w:spacing w:before="0" w:beforeAutospacing="0" w:after="0" w:afterAutospacing="0"/>
              <w:ind w:left="0" w:right="0" w:firstLineChars="900"/>
              <w:jc w:val="both"/>
              <w:outlineLvl w:val="9"/>
              <w:rPr>
                <w:rFonts w:hint="default" w:ascii="Times New Roman" w:hAnsi="Times New Roman" w:eastAsia="黑体" w:cs="Times New Roman"/>
                <w:color w:val="auto"/>
                <w:sz w:val="28"/>
                <w:szCs w:val="28"/>
                <w:highlight w:val="none"/>
                <w:lang w:bidi="ar"/>
              </w:rPr>
            </w:pPr>
            <w:r>
              <w:rPr>
                <w:rFonts w:hint="default" w:ascii="Times New Roman" w:hAnsi="Times New Roman" w:eastAsia="黑体" w:cs="Times New Roman"/>
                <w:color w:val="auto"/>
                <w:sz w:val="28"/>
                <w:szCs w:val="28"/>
                <w:highlight w:val="none"/>
                <w:lang w:bidi="ar"/>
              </w:rPr>
              <w:t>专栏</w:t>
            </w:r>
            <w:r>
              <w:rPr>
                <w:rFonts w:hint="default" w:ascii="Times New Roman" w:hAnsi="Times New Roman" w:eastAsia="黑体" w:cs="Times New Roman"/>
                <w:color w:val="auto"/>
                <w:sz w:val="28"/>
                <w:szCs w:val="28"/>
                <w:highlight w:val="none"/>
                <w:lang w:val="en-US" w:eastAsia="zh-CN" w:bidi="ar"/>
              </w:rPr>
              <w:t>6</w:t>
            </w:r>
            <w:r>
              <w:rPr>
                <w:rFonts w:hint="default" w:ascii="Times New Roman" w:hAnsi="Times New Roman" w:eastAsia="黑体" w:cs="Times New Roman"/>
                <w:color w:val="auto"/>
                <w:sz w:val="28"/>
                <w:szCs w:val="28"/>
                <w:highlight w:val="none"/>
                <w:lang w:bidi="ar"/>
              </w:rPr>
              <w:t xml:space="preserve">  规范异地就医直接结算管理</w:t>
            </w:r>
          </w:p>
        </w:tc>
      </w:tr>
      <w:tr w14:paraId="32F9C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1" w:type="dxa"/>
            <w:tcBorders>
              <w:top w:val="single" w:color="auto" w:sz="4" w:space="0"/>
              <w:left w:val="single" w:color="auto" w:sz="4" w:space="0"/>
              <w:bottom w:val="single" w:color="auto" w:sz="4" w:space="0"/>
              <w:right w:val="single" w:color="auto" w:sz="4" w:space="0"/>
            </w:tcBorders>
            <w:noWrap w:val="0"/>
            <w:vAlign w:val="top"/>
          </w:tcPr>
          <w:p w14:paraId="281E8A46">
            <w:pPr>
              <w:keepNext w:val="0"/>
              <w:keepLines w:val="0"/>
              <w:suppressLineNumbers w:val="0"/>
              <w:spacing w:before="0" w:beforeAutospacing="0" w:after="0" w:afterAutospacing="0" w:line="400" w:lineRule="exact"/>
              <w:ind w:left="0" w:right="0" w:firstLine="420" w:firstLineChars="200"/>
              <w:rPr>
                <w:rFonts w:hint="default" w:ascii="宋体" w:hAnsi="宋体" w:eastAsia="宋体" w:cs="宋体"/>
                <w:snapToGrid w:val="0"/>
                <w:color w:val="auto"/>
                <w:sz w:val="21"/>
                <w:szCs w:val="21"/>
                <w:highlight w:val="none"/>
                <w:lang w:bidi="ar"/>
              </w:rPr>
            </w:pPr>
            <w:r>
              <w:rPr>
                <w:rFonts w:hint="default" w:ascii="宋体" w:hAnsi="宋体" w:eastAsia="宋体" w:cs="宋体"/>
                <w:snapToGrid w:val="0"/>
                <w:color w:val="auto"/>
                <w:sz w:val="21"/>
                <w:szCs w:val="21"/>
                <w:highlight w:val="none"/>
                <w:lang w:bidi="ar"/>
              </w:rPr>
              <w:t>1.</w:t>
            </w:r>
            <w:r>
              <w:rPr>
                <w:rFonts w:hint="eastAsia" w:ascii="宋体" w:hAnsi="宋体" w:eastAsia="宋体" w:cs="宋体"/>
                <w:snapToGrid w:val="0"/>
                <w:color w:val="auto"/>
                <w:sz w:val="21"/>
                <w:szCs w:val="21"/>
                <w:highlight w:val="none"/>
                <w:lang w:eastAsia="zh-CN" w:bidi="ar"/>
              </w:rPr>
              <w:t>进一步</w:t>
            </w:r>
            <w:r>
              <w:rPr>
                <w:rFonts w:hint="eastAsia" w:ascii="宋体" w:hAnsi="宋体" w:eastAsia="宋体" w:cs="宋体"/>
                <w:snapToGrid w:val="0"/>
                <w:color w:val="auto"/>
                <w:sz w:val="21"/>
                <w:szCs w:val="21"/>
                <w:highlight w:val="none"/>
                <w:lang w:bidi="ar"/>
              </w:rPr>
              <w:t>规范异地就医结算管理。严格落实“先备案、后结算”，</w:t>
            </w:r>
            <w:r>
              <w:rPr>
                <w:rFonts w:hint="eastAsia" w:ascii="宋体" w:hAnsi="宋体" w:eastAsia="宋体" w:cs="宋体"/>
                <w:snapToGrid w:val="0"/>
                <w:color w:val="auto"/>
                <w:sz w:val="21"/>
                <w:szCs w:val="21"/>
                <w:highlight w:val="none"/>
                <w:lang w:eastAsia="zh-CN" w:bidi="ar"/>
              </w:rPr>
              <w:t>对临时外出就医人员，</w:t>
            </w:r>
            <w:r>
              <w:rPr>
                <w:rFonts w:hint="eastAsia" w:ascii="宋体" w:hAnsi="宋体" w:eastAsia="宋体" w:cs="宋体"/>
                <w:snapToGrid w:val="0"/>
                <w:color w:val="auto"/>
                <w:sz w:val="21"/>
                <w:szCs w:val="21"/>
                <w:highlight w:val="none"/>
                <w:lang w:bidi="ar"/>
              </w:rPr>
              <w:t>完善异地就医差异化报销政策，积极促进分级诊疗。强化异地定点医药机构管理，完善异地</w:t>
            </w:r>
            <w:r>
              <w:rPr>
                <w:rFonts w:hint="eastAsia" w:ascii="宋体" w:hAnsi="宋体" w:eastAsia="宋体" w:cs="宋体"/>
                <w:snapToGrid w:val="0"/>
                <w:color w:val="auto"/>
                <w:sz w:val="21"/>
                <w:szCs w:val="21"/>
                <w:highlight w:val="none"/>
                <w:lang w:val="en-US" w:eastAsia="zh-CN" w:bidi="ar"/>
              </w:rPr>
              <w:t>联网定点医药机构</w:t>
            </w:r>
            <w:r>
              <w:rPr>
                <w:rFonts w:hint="eastAsia" w:ascii="宋体" w:hAnsi="宋体" w:eastAsia="宋体" w:cs="宋体"/>
                <w:snapToGrid w:val="0"/>
                <w:color w:val="auto"/>
                <w:sz w:val="21"/>
                <w:szCs w:val="21"/>
                <w:highlight w:val="none"/>
                <w:lang w:bidi="ar"/>
              </w:rPr>
              <w:t>动态准入和退出机制。持续完善异地就医问题协同机制和费用协查机制，及时响应配合违规费用协查。推进异地就医费用纳入本地同质化管理。持续开展异地就医结算监测分析。</w:t>
            </w:r>
          </w:p>
          <w:p w14:paraId="54ABCCE1">
            <w:pPr>
              <w:keepNext w:val="0"/>
              <w:keepLines w:val="0"/>
              <w:suppressLineNumbers w:val="0"/>
              <w:spacing w:before="0" w:beforeAutospacing="0" w:after="0" w:afterAutospacing="0" w:line="400" w:lineRule="exact"/>
              <w:ind w:left="0" w:right="0" w:firstLine="420" w:firstLineChars="200"/>
              <w:rPr>
                <w:rFonts w:hint="default" w:ascii="宋体" w:hAnsi="宋体" w:eastAsia="宋体" w:cs="宋体"/>
                <w:snapToGrid w:val="0"/>
                <w:color w:val="auto"/>
                <w:sz w:val="21"/>
                <w:szCs w:val="21"/>
                <w:highlight w:val="none"/>
                <w:lang w:eastAsia="zh-CN" w:bidi="ar"/>
              </w:rPr>
            </w:pPr>
            <w:r>
              <w:rPr>
                <w:rFonts w:hint="default" w:ascii="宋体" w:hAnsi="宋体" w:eastAsia="宋体" w:cs="宋体"/>
                <w:snapToGrid w:val="0"/>
                <w:color w:val="auto"/>
                <w:sz w:val="21"/>
                <w:szCs w:val="21"/>
                <w:highlight w:val="none"/>
                <w:lang w:bidi="ar"/>
              </w:rPr>
              <w:t>2.</w:t>
            </w:r>
            <w:r>
              <w:rPr>
                <w:rFonts w:hint="eastAsia" w:ascii="宋体" w:hAnsi="宋体" w:eastAsia="宋体" w:cs="宋体"/>
                <w:snapToGrid w:val="0"/>
                <w:color w:val="auto"/>
                <w:sz w:val="21"/>
                <w:szCs w:val="21"/>
                <w:highlight w:val="none"/>
                <w:lang w:eastAsia="zh-CN" w:bidi="ar"/>
              </w:rPr>
              <w:t>持续</w:t>
            </w:r>
            <w:r>
              <w:rPr>
                <w:rFonts w:hint="eastAsia" w:ascii="宋体" w:hAnsi="宋体" w:eastAsia="宋体" w:cs="宋体"/>
                <w:snapToGrid w:val="0"/>
                <w:color w:val="auto"/>
                <w:sz w:val="21"/>
                <w:szCs w:val="21"/>
                <w:highlight w:val="none"/>
                <w:lang w:bidi="ar"/>
              </w:rPr>
              <w:t>提升异地就医直接结算服务。继续扩大异地直接结算险种范围，</w:t>
            </w:r>
            <w:r>
              <w:rPr>
                <w:rFonts w:hint="eastAsia" w:ascii="宋体" w:hAnsi="宋体" w:eastAsia="宋体" w:cs="宋体"/>
                <w:snapToGrid w:val="0"/>
                <w:color w:val="auto"/>
                <w:sz w:val="21"/>
                <w:szCs w:val="21"/>
                <w:highlight w:val="none"/>
                <w:lang w:val="en-US" w:eastAsia="zh-CN" w:bidi="ar"/>
              </w:rPr>
              <w:t>开展省内长期护理保险异地直接结算，</w:t>
            </w:r>
            <w:r>
              <w:rPr>
                <w:rFonts w:hint="eastAsia" w:ascii="宋体" w:hAnsi="宋体" w:eastAsia="宋体" w:cs="宋体"/>
                <w:snapToGrid w:val="0"/>
                <w:color w:val="auto"/>
                <w:sz w:val="21"/>
                <w:szCs w:val="21"/>
                <w:highlight w:val="none"/>
                <w:lang w:bidi="ar"/>
              </w:rPr>
              <w:t>完善生育医疗相关费用省内异地直接结算</w:t>
            </w:r>
            <w:r>
              <w:rPr>
                <w:rFonts w:hint="eastAsia" w:ascii="宋体" w:hAnsi="宋体" w:eastAsia="宋体" w:cs="宋体"/>
                <w:snapToGrid w:val="0"/>
                <w:color w:val="auto"/>
                <w:sz w:val="21"/>
                <w:szCs w:val="21"/>
                <w:highlight w:val="none"/>
                <w:lang w:eastAsia="zh-CN" w:bidi="ar"/>
              </w:rPr>
              <w:t>。</w:t>
            </w:r>
            <w:r>
              <w:rPr>
                <w:rFonts w:hint="eastAsia" w:ascii="宋体" w:hAnsi="宋体" w:eastAsia="宋体" w:cs="宋体"/>
                <w:snapToGrid w:val="0"/>
                <w:color w:val="auto"/>
                <w:sz w:val="21"/>
                <w:szCs w:val="21"/>
                <w:highlight w:val="none"/>
                <w:lang w:bidi="ar"/>
              </w:rPr>
              <w:t>落实职工基本医疗保险个人账户跨省共济费用清算</w:t>
            </w:r>
            <w:r>
              <w:rPr>
                <w:rFonts w:hint="eastAsia" w:ascii="宋体" w:hAnsi="宋体" w:eastAsia="宋体" w:cs="宋体"/>
                <w:snapToGrid w:val="0"/>
                <w:color w:val="auto"/>
                <w:sz w:val="21"/>
                <w:szCs w:val="21"/>
                <w:highlight w:val="none"/>
                <w:lang w:eastAsia="zh-CN" w:bidi="ar"/>
              </w:rPr>
              <w:t>。</w:t>
            </w:r>
          </w:p>
          <w:p w14:paraId="2F374DD7">
            <w:pPr>
              <w:keepNext w:val="0"/>
              <w:keepLines w:val="0"/>
              <w:suppressLineNumbers w:val="0"/>
              <w:spacing w:before="0" w:beforeAutospacing="0" w:after="0" w:afterAutospacing="0" w:line="400" w:lineRule="exact"/>
              <w:ind w:left="0" w:right="0" w:firstLine="420" w:firstLineChars="200"/>
              <w:rPr>
                <w:rFonts w:hint="default"/>
                <w:color w:val="auto"/>
                <w:highlight w:val="none"/>
              </w:rPr>
            </w:pPr>
            <w:r>
              <w:rPr>
                <w:rFonts w:hint="default" w:ascii="宋体" w:hAnsi="宋体" w:eastAsia="宋体" w:cs="宋体"/>
                <w:snapToGrid w:val="0"/>
                <w:color w:val="auto"/>
                <w:sz w:val="21"/>
                <w:szCs w:val="21"/>
                <w:highlight w:val="none"/>
                <w:lang w:bidi="ar"/>
              </w:rPr>
              <w:t>3.</w:t>
            </w:r>
            <w:r>
              <w:rPr>
                <w:rFonts w:hint="eastAsia" w:ascii="宋体" w:hAnsi="宋体" w:eastAsia="宋体" w:cs="宋体"/>
                <w:snapToGrid w:val="0"/>
                <w:color w:val="auto"/>
                <w:sz w:val="21"/>
                <w:szCs w:val="21"/>
                <w:highlight w:val="none"/>
                <w:lang w:val="en-US" w:eastAsia="zh-CN" w:bidi="ar"/>
              </w:rPr>
              <w:t>强化</w:t>
            </w:r>
            <w:r>
              <w:rPr>
                <w:rFonts w:hint="eastAsia" w:ascii="宋体" w:hAnsi="宋体" w:eastAsia="宋体" w:cs="宋体"/>
                <w:snapToGrid w:val="0"/>
                <w:color w:val="auto"/>
                <w:sz w:val="21"/>
                <w:szCs w:val="21"/>
                <w:highlight w:val="none"/>
                <w:lang w:bidi="ar"/>
              </w:rPr>
              <w:t>异地就医</w:t>
            </w:r>
            <w:r>
              <w:rPr>
                <w:rFonts w:hint="eastAsia" w:ascii="宋体" w:hAnsi="宋体" w:eastAsia="宋体" w:cs="宋体"/>
                <w:snapToGrid w:val="0"/>
                <w:color w:val="auto"/>
                <w:sz w:val="21"/>
                <w:szCs w:val="21"/>
                <w:highlight w:val="none"/>
                <w:lang w:val="en-US" w:eastAsia="zh-CN" w:bidi="ar"/>
              </w:rPr>
              <w:t>管理服务</w:t>
            </w:r>
            <w:r>
              <w:rPr>
                <w:rFonts w:hint="eastAsia" w:ascii="宋体" w:hAnsi="宋体" w:eastAsia="宋体" w:cs="宋体"/>
                <w:snapToGrid w:val="0"/>
                <w:color w:val="auto"/>
                <w:sz w:val="21"/>
                <w:szCs w:val="21"/>
                <w:highlight w:val="none"/>
                <w:lang w:bidi="ar"/>
              </w:rPr>
              <w:t>信息</w:t>
            </w:r>
            <w:r>
              <w:rPr>
                <w:rFonts w:hint="eastAsia" w:ascii="宋体" w:hAnsi="宋体" w:eastAsia="宋体" w:cs="宋体"/>
                <w:snapToGrid w:val="0"/>
                <w:color w:val="auto"/>
                <w:sz w:val="21"/>
                <w:szCs w:val="21"/>
                <w:highlight w:val="none"/>
                <w:lang w:val="en-US" w:eastAsia="zh-CN" w:bidi="ar"/>
              </w:rPr>
              <w:t>化支撑</w:t>
            </w:r>
            <w:r>
              <w:rPr>
                <w:rFonts w:hint="eastAsia" w:ascii="宋体" w:hAnsi="宋体" w:eastAsia="宋体" w:cs="宋体"/>
                <w:snapToGrid w:val="0"/>
                <w:color w:val="auto"/>
                <w:sz w:val="21"/>
                <w:szCs w:val="21"/>
                <w:highlight w:val="none"/>
                <w:lang w:bidi="ar"/>
              </w:rPr>
              <w:t>。</w:t>
            </w:r>
            <w:r>
              <w:rPr>
                <w:rFonts w:hint="eastAsia" w:ascii="宋体" w:hAnsi="宋体" w:eastAsia="宋体" w:cs="宋体"/>
                <w:snapToGrid w:val="0"/>
                <w:color w:val="auto"/>
                <w:sz w:val="21"/>
                <w:szCs w:val="21"/>
                <w:highlight w:val="none"/>
                <w:lang w:val="en-US" w:eastAsia="zh-CN" w:bidi="ar"/>
              </w:rPr>
              <w:t>提高全省异地结算清算平台智能化水平，健全异地就医直接结算报错协同治理长效机制，进一步提高直接结算成功率，提高报错处置智能化水平。优化异地就医政策智能问答。</w:t>
            </w:r>
          </w:p>
        </w:tc>
      </w:tr>
    </w:tbl>
    <w:p w14:paraId="6AFFAB29">
      <w:pPr>
        <w:pStyle w:val="4"/>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560" w:lineRule="exact"/>
        <w:ind w:firstLine="640" w:firstLineChars="200"/>
        <w:jc w:val="both"/>
        <w:textAlignment w:val="baseline"/>
        <w:outlineLvl w:val="0"/>
        <w:rPr>
          <w:rFonts w:hint="eastAsia" w:ascii="黑体" w:hAnsi="黑体" w:eastAsia="黑体" w:cs="黑体"/>
          <w:b w:val="0"/>
          <w:bCs w:val="0"/>
          <w:color w:val="auto"/>
          <w:sz w:val="32"/>
          <w:szCs w:val="32"/>
          <w:highlight w:val="none"/>
        </w:rPr>
      </w:pPr>
      <w:bookmarkStart w:id="1107" w:name="_Toc435"/>
      <w:bookmarkStart w:id="1108" w:name="_Toc16721"/>
      <w:bookmarkStart w:id="1109" w:name="_Toc18404"/>
      <w:bookmarkStart w:id="1110" w:name="_Toc1538"/>
      <w:bookmarkStart w:id="1111" w:name="_Toc4286"/>
      <w:bookmarkStart w:id="1112" w:name="_Toc27901"/>
      <w:bookmarkStart w:id="1113" w:name="_Toc11008"/>
      <w:bookmarkStart w:id="1114" w:name="_Toc1070"/>
      <w:bookmarkStart w:id="1115" w:name="_Toc11175"/>
      <w:bookmarkStart w:id="1116" w:name="_Toc16099"/>
      <w:bookmarkStart w:id="1117" w:name="_Toc32516"/>
      <w:bookmarkStart w:id="1118" w:name="_Toc2148"/>
      <w:bookmarkStart w:id="1119" w:name="_Toc11458"/>
      <w:bookmarkStart w:id="1120" w:name="_Toc11186"/>
      <w:bookmarkStart w:id="1121" w:name="_Toc24182"/>
      <w:bookmarkStart w:id="1122" w:name="_Toc5004"/>
      <w:bookmarkStart w:id="1123" w:name="_Toc18299"/>
      <w:bookmarkStart w:id="1124" w:name="_Toc30009"/>
      <w:bookmarkStart w:id="1125" w:name="_Toc17680"/>
      <w:bookmarkStart w:id="1126" w:name="_Toc30119"/>
      <w:bookmarkStart w:id="1127" w:name="_Toc32761"/>
      <w:bookmarkStart w:id="1128" w:name="_Toc27554"/>
      <w:bookmarkStart w:id="1129" w:name="_Toc7141"/>
      <w:bookmarkStart w:id="1130" w:name="_Toc27596"/>
      <w:bookmarkStart w:id="1131" w:name="_Toc20868"/>
      <w:bookmarkStart w:id="1132" w:name="_Toc13880"/>
      <w:bookmarkStart w:id="1133" w:name="_Toc7491"/>
      <w:bookmarkStart w:id="1134" w:name="_Toc24802"/>
      <w:bookmarkStart w:id="1135" w:name="_Toc30887"/>
      <w:bookmarkStart w:id="1136" w:name="_Toc15305"/>
      <w:bookmarkStart w:id="1137" w:name="_Toc10042"/>
      <w:bookmarkStart w:id="1138" w:name="_Toc12371"/>
      <w:bookmarkStart w:id="1139" w:name="_Toc21414"/>
      <w:bookmarkStart w:id="1140" w:name="_Toc17423"/>
      <w:bookmarkStart w:id="1141" w:name="_Toc23317"/>
      <w:bookmarkStart w:id="1142" w:name="_Toc15368"/>
      <w:bookmarkStart w:id="1143" w:name="_Toc8866"/>
      <w:bookmarkStart w:id="1144" w:name="_Toc8745"/>
      <w:bookmarkStart w:id="1145" w:name="_Toc11487"/>
      <w:bookmarkStart w:id="1146" w:name="_Toc21840"/>
      <w:bookmarkStart w:id="1147" w:name="_Toc3278"/>
      <w:bookmarkStart w:id="1148" w:name="_Toc27548"/>
      <w:bookmarkStart w:id="1149" w:name="_Toc10809"/>
      <w:bookmarkStart w:id="1150" w:name="_Toc16676"/>
      <w:bookmarkStart w:id="1151" w:name="_Toc31640"/>
      <w:bookmarkStart w:id="1152" w:name="_Toc5371"/>
      <w:bookmarkStart w:id="1153" w:name="_Toc4428"/>
      <w:bookmarkStart w:id="1154" w:name="_Toc15509"/>
      <w:bookmarkStart w:id="1155" w:name="_Toc10771"/>
      <w:bookmarkStart w:id="1156" w:name="_Toc3610"/>
      <w:bookmarkStart w:id="1157" w:name="_Toc12801"/>
      <w:bookmarkStart w:id="1158" w:name="_Toc8531"/>
      <w:bookmarkStart w:id="1159" w:name="_Toc29251"/>
      <w:bookmarkStart w:id="1160" w:name="_Toc17399"/>
      <w:bookmarkStart w:id="1161" w:name="_Toc634"/>
      <w:bookmarkStart w:id="1162" w:name="_Toc4866"/>
      <w:bookmarkStart w:id="1163" w:name="_Toc4863"/>
      <w:bookmarkStart w:id="1164" w:name="_Toc31945"/>
      <w:bookmarkStart w:id="1165" w:name="_Toc23268"/>
      <w:bookmarkStart w:id="1166" w:name="_Toc32071"/>
      <w:bookmarkStart w:id="1167" w:name="_Toc30085"/>
      <w:bookmarkStart w:id="1168" w:name="_Toc18544"/>
      <w:bookmarkStart w:id="1169" w:name="_Toc17872"/>
      <w:bookmarkStart w:id="1170" w:name="_Toc21016"/>
      <w:bookmarkStart w:id="1171" w:name="_Toc4209"/>
      <w:r>
        <w:rPr>
          <w:rFonts w:hint="eastAsia" w:ascii="黑体" w:hAnsi="黑体" w:eastAsia="黑体" w:cs="黑体"/>
          <w:b w:val="0"/>
          <w:bCs w:val="0"/>
          <w:color w:val="auto"/>
          <w:sz w:val="32"/>
          <w:szCs w:val="32"/>
          <w:highlight w:val="none"/>
          <w:lang w:val="en-US" w:eastAsia="zh-CN"/>
        </w:rPr>
        <w:t>七、</w:t>
      </w:r>
      <w:r>
        <w:rPr>
          <w:rFonts w:hint="eastAsia" w:ascii="黑体" w:hAnsi="黑体" w:eastAsia="黑体" w:cs="黑体"/>
          <w:b w:val="0"/>
          <w:bCs w:val="0"/>
          <w:color w:val="auto"/>
          <w:sz w:val="32"/>
          <w:szCs w:val="32"/>
          <w:highlight w:val="none"/>
        </w:rPr>
        <w:t>夯实医疗保障</w:t>
      </w:r>
      <w:r>
        <w:rPr>
          <w:rFonts w:hint="eastAsia" w:ascii="黑体" w:hAnsi="黑体" w:eastAsia="黑体" w:cs="黑体"/>
          <w:b w:val="0"/>
          <w:bCs w:val="0"/>
          <w:color w:val="auto"/>
          <w:sz w:val="32"/>
          <w:szCs w:val="32"/>
          <w:highlight w:val="none"/>
          <w:lang w:val="en-US" w:eastAsia="zh-CN"/>
        </w:rPr>
        <w:t>事业</w:t>
      </w:r>
      <w:r>
        <w:rPr>
          <w:rFonts w:hint="eastAsia" w:ascii="黑体" w:hAnsi="黑体" w:eastAsia="黑体" w:cs="黑体"/>
          <w:b w:val="0"/>
          <w:bCs w:val="0"/>
          <w:color w:val="auto"/>
          <w:sz w:val="32"/>
          <w:szCs w:val="32"/>
          <w:highlight w:val="none"/>
        </w:rPr>
        <w:t>发展基础</w:t>
      </w:r>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p>
    <w:p w14:paraId="2F29DFF4">
      <w:pPr>
        <w:pStyle w:val="5"/>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both"/>
        <w:textAlignment w:val="auto"/>
        <w:outlineLvl w:val="1"/>
        <w:rPr>
          <w:rFonts w:hint="eastAsia" w:ascii="宋体" w:hAnsi="宋体" w:eastAsia="楷体_GB2312" w:cs="Times New Roman"/>
          <w:b w:val="0"/>
          <w:bCs/>
          <w:color w:val="auto"/>
          <w:sz w:val="32"/>
          <w:szCs w:val="36"/>
          <w:highlight w:val="none"/>
          <w:lang w:val="en-US" w:eastAsia="zh-CN" w:bidi="ar"/>
        </w:rPr>
      </w:pPr>
      <w:bookmarkStart w:id="1172" w:name="_Toc19331"/>
      <w:bookmarkStart w:id="1173" w:name="_Toc9200"/>
      <w:bookmarkStart w:id="1174" w:name="_Toc20373"/>
      <w:bookmarkStart w:id="1175" w:name="_Toc26696"/>
      <w:bookmarkStart w:id="1176" w:name="_Toc11135"/>
      <w:bookmarkStart w:id="1177" w:name="_Toc289"/>
      <w:bookmarkStart w:id="1178" w:name="_Toc8366"/>
      <w:bookmarkStart w:id="1179" w:name="_Toc18724"/>
      <w:bookmarkStart w:id="1180" w:name="_Toc7033"/>
      <w:bookmarkStart w:id="1181" w:name="_Toc12717"/>
      <w:bookmarkStart w:id="1182" w:name="_Toc16453"/>
      <w:bookmarkStart w:id="1183" w:name="_Toc29093"/>
      <w:bookmarkStart w:id="1184" w:name="_Toc3524"/>
      <w:bookmarkStart w:id="1185" w:name="_Toc27115"/>
      <w:bookmarkStart w:id="1186" w:name="_Toc30127"/>
      <w:bookmarkStart w:id="1187" w:name="_Toc31664"/>
      <w:bookmarkStart w:id="1188" w:name="_Toc23009"/>
      <w:bookmarkStart w:id="1189" w:name="_Toc26543"/>
      <w:bookmarkStart w:id="1190" w:name="_Toc18924"/>
      <w:bookmarkStart w:id="1191" w:name="_Toc15589"/>
      <w:bookmarkStart w:id="1192" w:name="_Toc21953"/>
      <w:bookmarkStart w:id="1193" w:name="_Toc2702"/>
      <w:bookmarkStart w:id="1194" w:name="_Toc4330"/>
      <w:bookmarkStart w:id="1195" w:name="_Toc26498"/>
      <w:bookmarkStart w:id="1196" w:name="_Toc388"/>
      <w:bookmarkStart w:id="1197" w:name="_Toc26201"/>
      <w:bookmarkStart w:id="1198" w:name="_Toc6752"/>
      <w:bookmarkStart w:id="1199" w:name="_Toc21642"/>
      <w:bookmarkStart w:id="1200" w:name="_Toc31739"/>
      <w:bookmarkStart w:id="1201" w:name="_Toc28857"/>
      <w:bookmarkStart w:id="1202" w:name="_Toc1543"/>
      <w:bookmarkStart w:id="1203" w:name="_Toc6960"/>
      <w:bookmarkStart w:id="1204" w:name="_Toc32082"/>
      <w:bookmarkStart w:id="1205" w:name="_Toc22088"/>
      <w:bookmarkStart w:id="1206" w:name="_Toc12015"/>
      <w:bookmarkStart w:id="1207" w:name="_Toc4033"/>
      <w:bookmarkStart w:id="1208" w:name="_Toc2068"/>
      <w:bookmarkStart w:id="1209" w:name="_Toc22949"/>
      <w:bookmarkStart w:id="1210" w:name="_Toc26744"/>
      <w:bookmarkStart w:id="1211" w:name="_Toc15952"/>
      <w:bookmarkStart w:id="1212" w:name="_Toc12446"/>
      <w:bookmarkStart w:id="1213" w:name="_Toc10892"/>
      <w:bookmarkStart w:id="1214" w:name="_Toc6270"/>
      <w:bookmarkStart w:id="1215" w:name="_Toc6642"/>
      <w:bookmarkStart w:id="1216" w:name="_Toc27913"/>
      <w:bookmarkStart w:id="1217" w:name="_Toc24290"/>
      <w:bookmarkStart w:id="1218" w:name="_Toc23683"/>
      <w:bookmarkStart w:id="1219" w:name="_Toc6009"/>
      <w:bookmarkStart w:id="1220" w:name="_Toc23670"/>
      <w:bookmarkStart w:id="1221" w:name="_Toc8840"/>
      <w:bookmarkStart w:id="1222" w:name="_Toc244"/>
      <w:bookmarkStart w:id="1223" w:name="_Toc11439"/>
      <w:bookmarkStart w:id="1224" w:name="_Toc22226"/>
      <w:bookmarkStart w:id="1225" w:name="_Toc14618"/>
      <w:bookmarkStart w:id="1226" w:name="_Toc14424"/>
      <w:bookmarkStart w:id="1227" w:name="_Toc15167"/>
      <w:bookmarkStart w:id="1228" w:name="_Toc14805"/>
      <w:bookmarkStart w:id="1229" w:name="_Toc11510"/>
      <w:bookmarkStart w:id="1230" w:name="_Toc29598"/>
      <w:bookmarkStart w:id="1231" w:name="_Toc7645"/>
      <w:bookmarkStart w:id="1232" w:name="_Toc9171"/>
      <w:bookmarkStart w:id="1233" w:name="_Toc2446"/>
      <w:bookmarkStart w:id="1234" w:name="_Toc9633"/>
      <w:bookmarkStart w:id="1235" w:name="_Toc9300"/>
      <w:bookmarkStart w:id="1236" w:name="_Toc7639"/>
      <w:r>
        <w:rPr>
          <w:rFonts w:hint="default" w:ascii="宋体" w:hAnsi="宋体" w:eastAsia="楷体_GB2312" w:cs="Times New Roman"/>
          <w:b w:val="0"/>
          <w:bCs/>
          <w:color w:val="auto"/>
          <w:sz w:val="32"/>
          <w:szCs w:val="36"/>
          <w:highlight w:val="none"/>
          <w:lang w:eastAsia="zh-CN" w:bidi="ar"/>
        </w:rPr>
        <w:t>（</w:t>
      </w:r>
      <w:r>
        <w:rPr>
          <w:rFonts w:hint="eastAsia" w:ascii="宋体" w:hAnsi="宋体" w:eastAsia="楷体_GB2312" w:cs="Times New Roman"/>
          <w:b w:val="0"/>
          <w:bCs/>
          <w:color w:val="auto"/>
          <w:sz w:val="32"/>
          <w:szCs w:val="36"/>
          <w:highlight w:val="none"/>
          <w:lang w:val="en-US" w:eastAsia="zh-CN" w:bidi="ar"/>
        </w:rPr>
        <w:t>二十二</w:t>
      </w:r>
      <w:r>
        <w:rPr>
          <w:rFonts w:hint="default" w:ascii="宋体" w:hAnsi="宋体" w:eastAsia="楷体_GB2312" w:cs="Times New Roman"/>
          <w:b w:val="0"/>
          <w:bCs/>
          <w:color w:val="auto"/>
          <w:sz w:val="32"/>
          <w:szCs w:val="36"/>
          <w:highlight w:val="none"/>
          <w:lang w:eastAsia="zh-CN" w:bidi="ar"/>
        </w:rPr>
        <w:t>）加强法治</w:t>
      </w:r>
      <w:r>
        <w:rPr>
          <w:rFonts w:hint="eastAsia" w:ascii="宋体" w:hAnsi="宋体" w:eastAsia="楷体_GB2312" w:cs="Times New Roman"/>
          <w:b w:val="0"/>
          <w:bCs/>
          <w:color w:val="auto"/>
          <w:sz w:val="32"/>
          <w:szCs w:val="36"/>
          <w:highlight w:val="none"/>
          <w:lang w:val="en-US" w:eastAsia="zh-CN" w:bidi="ar"/>
        </w:rPr>
        <w:t>和标准化</w:t>
      </w:r>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r>
        <w:rPr>
          <w:rFonts w:hint="eastAsia" w:ascii="宋体" w:hAnsi="宋体" w:eastAsia="楷体_GB2312" w:cs="Times New Roman"/>
          <w:b w:val="0"/>
          <w:bCs/>
          <w:color w:val="auto"/>
          <w:sz w:val="32"/>
          <w:szCs w:val="36"/>
          <w:highlight w:val="none"/>
          <w:lang w:val="en-US" w:eastAsia="zh-CN" w:bidi="ar"/>
        </w:rPr>
        <w:t>建设</w:t>
      </w:r>
      <w:bookmarkEnd w:id="1231"/>
      <w:bookmarkEnd w:id="1232"/>
      <w:bookmarkEnd w:id="1233"/>
      <w:bookmarkEnd w:id="1234"/>
      <w:bookmarkEnd w:id="1235"/>
      <w:bookmarkEnd w:id="1236"/>
    </w:p>
    <w:p w14:paraId="65BB709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color w:val="auto"/>
          <w:sz w:val="32"/>
          <w:szCs w:val="32"/>
          <w:highlight w:val="none"/>
          <w:lang w:val="en-US" w:eastAsia="zh-CN"/>
        </w:rPr>
      </w:pPr>
      <w:bookmarkStart w:id="1237" w:name="_Toc15390"/>
      <w:bookmarkStart w:id="1238" w:name="_Toc15830"/>
      <w:bookmarkStart w:id="1239" w:name="_Toc19186"/>
      <w:bookmarkStart w:id="1240" w:name="_Toc10113"/>
      <w:bookmarkStart w:id="1241" w:name="_Toc16900"/>
      <w:bookmarkStart w:id="1242" w:name="_Toc1479"/>
      <w:r>
        <w:rPr>
          <w:rFonts w:hint="eastAsia" w:ascii="仿宋_GB2312" w:hAnsi="仿宋_GB2312" w:eastAsia="仿宋_GB2312" w:cs="仿宋_GB2312"/>
          <w:color w:val="auto"/>
          <w:sz w:val="32"/>
          <w:szCs w:val="32"/>
          <w:highlight w:val="none"/>
          <w:lang w:val="en-US" w:eastAsia="zh-CN"/>
        </w:rPr>
        <w:t>根据国家统一部署</w:t>
      </w:r>
      <w:r>
        <w:rPr>
          <w:rFonts w:hint="default" w:ascii="仿宋_GB2312" w:hAnsi="仿宋_GB2312" w:eastAsia="仿宋_GB2312" w:cs="仿宋_GB2312"/>
          <w:color w:val="auto"/>
          <w:sz w:val="32"/>
          <w:szCs w:val="32"/>
          <w:highlight w:val="none"/>
          <w:lang w:val="en-US" w:eastAsia="zh-CN"/>
        </w:rPr>
        <w:t>，系统推进配套法律体系建设。健全完善医保工作重大决策、重大执法决定等重大行政行为程序，出台医疗保障系统重大行政决策事项清单（目录）和法制审核工作规则。创新开展医保普法活动。有序推进行刑双向衔接机制规范化建设试点，加强行政执法和刑事司法事前、事中、事后有效衔接。打造高素质基金监管执法队伍</w:t>
      </w:r>
      <w:r>
        <w:rPr>
          <w:rFonts w:hint="eastAsia" w:ascii="仿宋_GB2312" w:hAnsi="仿宋_GB2312" w:eastAsia="仿宋_GB2312" w:cs="仿宋_GB2312"/>
          <w:color w:val="auto"/>
          <w:sz w:val="32"/>
          <w:szCs w:val="32"/>
          <w:highlight w:val="none"/>
          <w:lang w:val="en-US" w:eastAsia="zh-CN"/>
        </w:rPr>
        <w:t>，</w:t>
      </w:r>
      <w:r>
        <w:rPr>
          <w:rFonts w:hint="default" w:ascii="仿宋_GB2312" w:hAnsi="仿宋_GB2312" w:eastAsia="仿宋_GB2312" w:cs="仿宋_GB2312"/>
          <w:color w:val="auto"/>
          <w:sz w:val="32"/>
          <w:szCs w:val="32"/>
          <w:highlight w:val="none"/>
          <w:lang w:val="en-US" w:eastAsia="zh-CN"/>
        </w:rPr>
        <w:t>提升医保系统执法能力和执法监督水平。</w:t>
      </w:r>
      <w:bookmarkEnd w:id="1237"/>
      <w:bookmarkEnd w:id="1238"/>
      <w:bookmarkEnd w:id="1239"/>
      <w:bookmarkEnd w:id="1240"/>
      <w:bookmarkEnd w:id="1241"/>
      <w:bookmarkEnd w:id="1242"/>
    </w:p>
    <w:p w14:paraId="7A50E57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color w:val="auto"/>
          <w:sz w:val="32"/>
          <w:szCs w:val="32"/>
          <w:highlight w:val="none"/>
          <w:lang w:val="en-US" w:eastAsia="zh-CN"/>
        </w:rPr>
      </w:pPr>
      <w:r>
        <w:rPr>
          <w:rFonts w:hint="default" w:ascii="仿宋_GB2312" w:hAnsi="仿宋_GB2312" w:eastAsia="仿宋_GB2312" w:cs="仿宋_GB2312"/>
          <w:color w:val="auto"/>
          <w:sz w:val="32"/>
          <w:szCs w:val="32"/>
          <w:highlight w:val="none"/>
          <w:lang w:val="en-US" w:eastAsia="zh-CN"/>
        </w:rPr>
        <w:t>严格执行</w:t>
      </w:r>
      <w:r>
        <w:rPr>
          <w:rFonts w:hint="eastAsia" w:ascii="仿宋_GB2312" w:hAnsi="仿宋_GB2312" w:eastAsia="仿宋_GB2312" w:cs="仿宋_GB2312"/>
          <w:color w:val="auto"/>
          <w:sz w:val="32"/>
          <w:szCs w:val="32"/>
          <w:highlight w:val="none"/>
          <w:lang w:val="en-US" w:eastAsia="zh-CN"/>
        </w:rPr>
        <w:t>医疗保障</w:t>
      </w:r>
      <w:r>
        <w:rPr>
          <w:rFonts w:hint="default" w:ascii="仿宋_GB2312" w:hAnsi="仿宋_GB2312" w:eastAsia="仿宋_GB2312" w:cs="仿宋_GB2312"/>
          <w:color w:val="auto"/>
          <w:sz w:val="32"/>
          <w:szCs w:val="32"/>
          <w:highlight w:val="none"/>
          <w:lang w:val="en-US" w:eastAsia="zh-CN"/>
        </w:rPr>
        <w:t>国家标准体系，</w:t>
      </w:r>
      <w:r>
        <w:rPr>
          <w:rFonts w:hint="eastAsia" w:ascii="仿宋_GB2312" w:hAnsi="仿宋_GB2312" w:eastAsia="仿宋_GB2312" w:cs="仿宋_GB2312"/>
          <w:color w:val="auto"/>
          <w:sz w:val="32"/>
          <w:szCs w:val="32"/>
          <w:highlight w:val="none"/>
          <w:lang w:val="en-US" w:eastAsia="zh-CN"/>
        </w:rPr>
        <w:t>落实医疗保障国家标准制修订三年实施计划</w:t>
      </w:r>
      <w:r>
        <w:rPr>
          <w:rFonts w:hint="default"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lang w:val="en-US" w:eastAsia="zh-CN"/>
        </w:rPr>
        <w:t>加强地方医疗保障标准化建设，构建全省统一的医疗保障标准化体系。加强标准化动态维护和标准实施评估，提升医疗保障标准化实效。</w:t>
      </w:r>
    </w:p>
    <w:p w14:paraId="5B8A2E2F">
      <w:pPr>
        <w:pStyle w:val="5"/>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both"/>
        <w:textAlignment w:val="auto"/>
        <w:outlineLvl w:val="1"/>
        <w:rPr>
          <w:rFonts w:hint="default" w:ascii="宋体" w:hAnsi="宋体" w:eastAsia="楷体_GB2312" w:cs="Times New Roman"/>
          <w:b w:val="0"/>
          <w:bCs/>
          <w:color w:val="auto"/>
          <w:sz w:val="32"/>
          <w:szCs w:val="36"/>
          <w:highlight w:val="none"/>
          <w:lang w:eastAsia="zh-CN" w:bidi="ar"/>
        </w:rPr>
      </w:pPr>
      <w:bookmarkStart w:id="1243" w:name="_Toc5168"/>
      <w:bookmarkStart w:id="1244" w:name="_Toc29071"/>
      <w:r>
        <w:rPr>
          <w:rFonts w:hint="default" w:ascii="宋体" w:hAnsi="宋体" w:eastAsia="楷体_GB2312" w:cs="Times New Roman"/>
          <w:b w:val="0"/>
          <w:bCs/>
          <w:color w:val="auto"/>
          <w:sz w:val="32"/>
          <w:szCs w:val="36"/>
          <w:highlight w:val="none"/>
          <w:lang w:val="en-US" w:eastAsia="zh-CN" w:bidi="ar"/>
        </w:rPr>
        <w:t>（二十三）提升信息数据支撑</w:t>
      </w:r>
      <w:bookmarkEnd w:id="1243"/>
      <w:bookmarkEnd w:id="1244"/>
    </w:p>
    <w:p w14:paraId="5E9935E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完善全省医疗保障信息平台及各子系统功能，深化大数据、云计算、人工智能等技术应用，探索建设个人医保云，不断强化个人医保服务，稳步推动医保智能服务升级。全面提升医保信息化对公共服务、医保经办、医保支付等支撑。持续完善医保数据专区建设，促进数据赋能地市医保管理。</w:t>
      </w:r>
    </w:p>
    <w:p w14:paraId="0480ABC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依法依规归集整合参保人医保信息数据，形成以人为单元、以物为单元、以资金为单元、以规则为单元的整合型信息，提升全省一体化的智慧医保管理水平。结合国家及我省有关规定，在确保数据安全与隐私保护前提下，探索完善医保数据授权运营收益分配、数据安全、使用管理等相关机制，按国家统一部署稳妥有序开展授权运营工作。</w:t>
      </w:r>
    </w:p>
    <w:p w14:paraId="3A374F8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强化医保信息化安全保障体系建设，全面推进医保信息平台信创建设应用，构建多层次安全防护基础设施能力底座。加强运维管理，打造专业稳定的运维管理团队，提升网络安全技术防护水平。</w:t>
      </w:r>
    </w:p>
    <w:p w14:paraId="6FF381A4">
      <w:pPr>
        <w:pStyle w:val="5"/>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both"/>
        <w:textAlignment w:val="auto"/>
        <w:outlineLvl w:val="1"/>
        <w:rPr>
          <w:rFonts w:hint="eastAsia" w:ascii="宋体" w:hAnsi="宋体" w:eastAsia="楷体_GB2312" w:cs="Times New Roman"/>
          <w:b w:val="0"/>
          <w:bCs/>
          <w:color w:val="auto"/>
          <w:sz w:val="32"/>
          <w:szCs w:val="36"/>
          <w:highlight w:val="none"/>
          <w:lang w:eastAsia="zh-CN" w:bidi="ar"/>
        </w:rPr>
      </w:pPr>
      <w:bookmarkStart w:id="1245" w:name="_Toc23321"/>
      <w:bookmarkStart w:id="1246" w:name="_Toc12049"/>
      <w:bookmarkStart w:id="1247" w:name="_Toc4892"/>
      <w:bookmarkStart w:id="1248" w:name="_Toc30892"/>
      <w:bookmarkStart w:id="1249" w:name="_Toc12593"/>
      <w:bookmarkStart w:id="1250" w:name="_Toc13329"/>
      <w:bookmarkStart w:id="1251" w:name="_Toc17267"/>
      <w:bookmarkStart w:id="1252" w:name="_Toc23203"/>
      <w:bookmarkStart w:id="1253" w:name="_Toc2536"/>
      <w:bookmarkStart w:id="1254" w:name="_Toc7823"/>
      <w:bookmarkStart w:id="1255" w:name="_Toc27482"/>
      <w:bookmarkStart w:id="1256" w:name="_Toc5621"/>
      <w:bookmarkStart w:id="1257" w:name="_Toc1020"/>
      <w:bookmarkStart w:id="1258" w:name="_Toc29729"/>
      <w:bookmarkStart w:id="1259" w:name="_Toc10915"/>
      <w:bookmarkStart w:id="1260" w:name="_Toc16421"/>
      <w:bookmarkStart w:id="1261" w:name="_Toc30562"/>
      <w:bookmarkStart w:id="1262" w:name="_Toc19693"/>
      <w:bookmarkStart w:id="1263" w:name="_Toc26869"/>
      <w:bookmarkStart w:id="1264" w:name="_Toc13713"/>
      <w:bookmarkStart w:id="1265" w:name="_Toc1339"/>
      <w:bookmarkStart w:id="1266" w:name="_Toc9232"/>
      <w:bookmarkStart w:id="1267" w:name="_Toc17254"/>
      <w:bookmarkStart w:id="1268" w:name="_Toc24718"/>
      <w:bookmarkStart w:id="1269" w:name="_Toc20510"/>
      <w:bookmarkStart w:id="1270" w:name="_Toc31683"/>
      <w:bookmarkStart w:id="1271" w:name="_Toc26491"/>
      <w:bookmarkStart w:id="1272" w:name="_Toc11538"/>
      <w:bookmarkStart w:id="1273" w:name="_Toc31684"/>
      <w:bookmarkStart w:id="1274" w:name="_Toc22294"/>
      <w:bookmarkStart w:id="1275" w:name="_Toc19175"/>
      <w:bookmarkStart w:id="1276" w:name="_Toc29774"/>
      <w:bookmarkStart w:id="1277" w:name="_Toc3621"/>
      <w:bookmarkStart w:id="1278" w:name="_Toc21241"/>
      <w:bookmarkStart w:id="1279" w:name="_Toc31223"/>
      <w:bookmarkStart w:id="1280" w:name="_Toc3271"/>
      <w:bookmarkStart w:id="1281" w:name="_Toc13607"/>
      <w:bookmarkStart w:id="1282" w:name="_Toc13500"/>
      <w:bookmarkStart w:id="1283" w:name="_Toc5267"/>
      <w:bookmarkStart w:id="1284" w:name="_Toc14346"/>
      <w:bookmarkStart w:id="1285" w:name="_Toc17912"/>
      <w:bookmarkStart w:id="1286" w:name="_Toc2165"/>
      <w:r>
        <w:rPr>
          <w:rFonts w:hint="default" w:ascii="宋体" w:hAnsi="宋体" w:eastAsia="楷体_GB2312" w:cs="Times New Roman"/>
          <w:b w:val="0"/>
          <w:bCs/>
          <w:color w:val="auto"/>
          <w:sz w:val="32"/>
          <w:szCs w:val="36"/>
          <w:highlight w:val="none"/>
          <w:lang w:eastAsia="zh-CN" w:bidi="ar"/>
        </w:rPr>
        <w:t>（</w:t>
      </w:r>
      <w:r>
        <w:rPr>
          <w:rFonts w:hint="eastAsia" w:ascii="宋体" w:hAnsi="宋体" w:eastAsia="楷体_GB2312" w:cs="Times New Roman"/>
          <w:b w:val="0"/>
          <w:bCs/>
          <w:color w:val="auto"/>
          <w:sz w:val="32"/>
          <w:szCs w:val="36"/>
          <w:highlight w:val="none"/>
          <w:lang w:val="en-US" w:eastAsia="zh-CN" w:bidi="ar"/>
        </w:rPr>
        <w:t>二十四</w:t>
      </w:r>
      <w:r>
        <w:rPr>
          <w:rFonts w:hint="default" w:ascii="宋体" w:hAnsi="宋体" w:eastAsia="楷体_GB2312" w:cs="Times New Roman"/>
          <w:b w:val="0"/>
          <w:bCs/>
          <w:color w:val="auto"/>
          <w:sz w:val="32"/>
          <w:szCs w:val="36"/>
          <w:highlight w:val="none"/>
          <w:lang w:eastAsia="zh-CN" w:bidi="ar"/>
        </w:rPr>
        <w:t>）强化人才队伍建设</w:t>
      </w:r>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p>
    <w:p w14:paraId="52EC095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发挥党建引领和保障作用，加大干部教育培训力度，常态化开展实践锻炼和技能比武，提升干部履职尽责能力。健全人才引进、培养、使用、激励全链条机制，注重引进紧缺人才，完善专业化、复合型、梯队化的医保人才队伍体系，着力打造吉优医保铁军。</w:t>
      </w:r>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Start w:id="1287" w:name="_Toc5894"/>
      <w:r>
        <w:rPr>
          <w:rFonts w:hint="default" w:ascii="仿宋_GB2312" w:hAnsi="仿宋_GB2312" w:eastAsia="仿宋_GB2312" w:cs="仿宋_GB2312"/>
          <w:color w:val="auto"/>
          <w:sz w:val="32"/>
          <w:szCs w:val="32"/>
          <w:highlight w:val="none"/>
          <w:lang w:val="en-US" w:eastAsia="zh-CN"/>
        </w:rPr>
        <w:t>支持定点医疗机构加强医保职能部门建设</w:t>
      </w:r>
      <w:r>
        <w:rPr>
          <w:rFonts w:hint="eastAsia" w:ascii="仿宋_GB2312" w:hAnsi="仿宋_GB2312" w:eastAsia="仿宋_GB2312" w:cs="仿宋_GB2312"/>
          <w:color w:val="auto"/>
          <w:sz w:val="32"/>
          <w:szCs w:val="32"/>
          <w:highlight w:val="none"/>
          <w:lang w:val="en-US" w:eastAsia="zh-CN"/>
        </w:rPr>
        <w:t>，提升定点机构医保管理能力</w:t>
      </w:r>
      <w:r>
        <w:rPr>
          <w:rFonts w:hint="default" w:ascii="仿宋_GB2312" w:hAnsi="仿宋_GB2312" w:eastAsia="仿宋_GB2312" w:cs="仿宋_GB2312"/>
          <w:color w:val="auto"/>
          <w:sz w:val="32"/>
          <w:szCs w:val="32"/>
          <w:highlight w:val="none"/>
          <w:lang w:val="en-US" w:eastAsia="zh-CN"/>
        </w:rPr>
        <w:t>。</w:t>
      </w:r>
    </w:p>
    <w:p w14:paraId="713D183A">
      <w:pPr>
        <w:pStyle w:val="4"/>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Chars="200"/>
        <w:jc w:val="both"/>
        <w:textAlignment w:val="auto"/>
        <w:outlineLvl w:val="0"/>
        <w:rPr>
          <w:rFonts w:hint="eastAsia" w:ascii="黑体" w:hAnsi="黑体" w:eastAsia="黑体" w:cs="黑体"/>
          <w:b w:val="0"/>
          <w:bCs w:val="0"/>
          <w:color w:val="auto"/>
          <w:kern w:val="44"/>
          <w:sz w:val="32"/>
          <w:szCs w:val="32"/>
          <w:highlight w:val="none"/>
          <w:lang w:val="en-US" w:eastAsia="zh-CN" w:bidi="ar"/>
        </w:rPr>
      </w:pPr>
      <w:r>
        <w:rPr>
          <w:rFonts w:hint="eastAsia" w:ascii="黑体" w:hAnsi="黑体" w:eastAsia="黑体" w:cs="黑体"/>
          <w:b w:val="0"/>
          <w:bCs w:val="0"/>
          <w:color w:val="auto"/>
          <w:sz w:val="32"/>
          <w:szCs w:val="32"/>
          <w:highlight w:val="none"/>
          <w:lang w:val="en-US" w:eastAsia="zh-CN"/>
        </w:rPr>
        <w:t>八</w:t>
      </w:r>
      <w:r>
        <w:rPr>
          <w:rFonts w:hint="eastAsia" w:ascii="黑体" w:hAnsi="黑体" w:eastAsia="黑体" w:cs="黑体"/>
          <w:b w:val="0"/>
          <w:bCs w:val="0"/>
          <w:color w:val="auto"/>
          <w:kern w:val="44"/>
          <w:sz w:val="32"/>
          <w:szCs w:val="32"/>
          <w:highlight w:val="none"/>
          <w:lang w:val="en-US" w:eastAsia="zh-CN" w:bidi="ar"/>
        </w:rPr>
        <w:t>、助力</w:t>
      </w:r>
      <w:bookmarkEnd w:id="1287"/>
      <w:r>
        <w:rPr>
          <w:rFonts w:hint="eastAsia" w:ascii="黑体" w:hAnsi="黑体" w:eastAsia="黑体" w:cs="黑体"/>
          <w:b w:val="0"/>
          <w:bCs w:val="0"/>
          <w:color w:val="auto"/>
          <w:kern w:val="44"/>
          <w:sz w:val="32"/>
          <w:szCs w:val="32"/>
          <w:highlight w:val="none"/>
          <w:lang w:val="en-US" w:eastAsia="zh-CN" w:bidi="ar"/>
        </w:rPr>
        <w:t>吉林</w:t>
      </w:r>
      <w:r>
        <w:rPr>
          <w:rFonts w:hint="eastAsia" w:ascii="黑体" w:hAnsi="黑体" w:eastAsia="黑体" w:cs="黑体"/>
          <w:b w:val="0"/>
          <w:bCs w:val="0"/>
          <w:color w:val="auto"/>
          <w:kern w:val="44"/>
          <w:sz w:val="32"/>
          <w:szCs w:val="32"/>
          <w:highlight w:val="none"/>
          <w:lang w:bidi="ar"/>
        </w:rPr>
        <w:t>全面振兴</w:t>
      </w:r>
    </w:p>
    <w:p w14:paraId="6EB1BB86">
      <w:pPr>
        <w:pStyle w:val="5"/>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both"/>
        <w:textAlignment w:val="auto"/>
        <w:outlineLvl w:val="1"/>
        <w:rPr>
          <w:rFonts w:hint="default" w:ascii="宋体" w:hAnsi="宋体" w:eastAsia="楷体_GB2312" w:cs="Times New Roman"/>
          <w:b w:val="0"/>
          <w:bCs/>
          <w:color w:val="auto"/>
          <w:sz w:val="32"/>
          <w:szCs w:val="36"/>
          <w:highlight w:val="none"/>
          <w:lang w:eastAsia="zh-CN" w:bidi="ar"/>
        </w:rPr>
      </w:pPr>
      <w:bookmarkStart w:id="1288" w:name="_Toc25714"/>
      <w:bookmarkStart w:id="1289" w:name="_Toc30108"/>
      <w:bookmarkStart w:id="1290" w:name="_Toc32517"/>
      <w:bookmarkStart w:id="1291" w:name="_Toc14704"/>
      <w:bookmarkStart w:id="1292" w:name="_Toc52"/>
      <w:bookmarkStart w:id="1293" w:name="_Toc22621"/>
      <w:bookmarkStart w:id="1294" w:name="_Toc14332"/>
      <w:bookmarkStart w:id="1295" w:name="_Toc13229"/>
      <w:bookmarkStart w:id="1296" w:name="_Toc6897"/>
      <w:bookmarkStart w:id="1297" w:name="_Toc9000"/>
      <w:bookmarkStart w:id="1298" w:name="_Toc6446"/>
      <w:bookmarkStart w:id="1299" w:name="_Toc31616"/>
      <w:r>
        <w:rPr>
          <w:rFonts w:hint="default" w:ascii="宋体" w:hAnsi="宋体" w:eastAsia="楷体_GB2312" w:cs="Times New Roman"/>
          <w:b w:val="0"/>
          <w:bCs/>
          <w:color w:val="auto"/>
          <w:sz w:val="32"/>
          <w:szCs w:val="36"/>
          <w:highlight w:val="none"/>
          <w:lang w:eastAsia="zh-CN" w:bidi="ar"/>
        </w:rPr>
        <w:t>（</w:t>
      </w:r>
      <w:r>
        <w:rPr>
          <w:rFonts w:hint="eastAsia" w:ascii="宋体" w:hAnsi="宋体" w:eastAsia="楷体_GB2312" w:cs="Times New Roman"/>
          <w:b w:val="0"/>
          <w:bCs/>
          <w:color w:val="auto"/>
          <w:sz w:val="32"/>
          <w:szCs w:val="36"/>
          <w:highlight w:val="none"/>
          <w:lang w:val="en-US" w:eastAsia="zh-CN" w:bidi="ar"/>
        </w:rPr>
        <w:t>二十五</w:t>
      </w:r>
      <w:r>
        <w:rPr>
          <w:rFonts w:hint="default" w:ascii="宋体" w:hAnsi="宋体" w:eastAsia="楷体_GB2312" w:cs="Times New Roman"/>
          <w:b w:val="0"/>
          <w:bCs/>
          <w:color w:val="auto"/>
          <w:sz w:val="32"/>
          <w:szCs w:val="36"/>
          <w:highlight w:val="none"/>
          <w:lang w:eastAsia="zh-CN" w:bidi="ar"/>
        </w:rPr>
        <w:t>）助力特色现代化产业体系建设</w:t>
      </w:r>
      <w:bookmarkEnd w:id="1288"/>
      <w:bookmarkEnd w:id="1289"/>
      <w:bookmarkEnd w:id="1290"/>
      <w:bookmarkEnd w:id="1291"/>
      <w:bookmarkEnd w:id="1292"/>
      <w:bookmarkEnd w:id="1293"/>
      <w:bookmarkEnd w:id="1294"/>
      <w:bookmarkEnd w:id="1295"/>
      <w:bookmarkEnd w:id="1296"/>
    </w:p>
    <w:bookmarkEnd w:id="1297"/>
    <w:bookmarkEnd w:id="1298"/>
    <w:p w14:paraId="4230124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color w:val="auto"/>
          <w:sz w:val="32"/>
          <w:szCs w:val="32"/>
          <w:highlight w:val="none"/>
          <w:lang w:val="en-US" w:eastAsia="zh-CN"/>
        </w:rPr>
      </w:pPr>
      <w:bookmarkStart w:id="1300" w:name="_Toc2524"/>
      <w:bookmarkStart w:id="1301" w:name="_Toc22096"/>
      <w:bookmarkStart w:id="1302" w:name="_Toc27417"/>
      <w:bookmarkStart w:id="1303" w:name="_Toc12428"/>
      <w:bookmarkStart w:id="1304" w:name="_Toc28442"/>
      <w:bookmarkStart w:id="1305" w:name="_Toc29665"/>
      <w:bookmarkStart w:id="1306" w:name="_Toc23215"/>
      <w:bookmarkStart w:id="1307" w:name="_Toc5367"/>
      <w:r>
        <w:rPr>
          <w:rFonts w:hint="default" w:ascii="仿宋_GB2312" w:hAnsi="仿宋_GB2312" w:eastAsia="仿宋_GB2312" w:cs="仿宋_GB2312"/>
          <w:color w:val="auto"/>
          <w:sz w:val="32"/>
          <w:szCs w:val="32"/>
          <w:highlight w:val="none"/>
          <w:lang w:val="en-US" w:eastAsia="zh-CN"/>
        </w:rPr>
        <w:t>支持新医药产业创新集聚发展。优化医保政策企业直达服务，探索本土创新药械企业医保政策“点对点”辅导。</w:t>
      </w:r>
      <w:commentRangeStart w:id="5"/>
      <w:commentRangeStart w:id="6"/>
      <w:r>
        <w:rPr>
          <w:rFonts w:hint="default" w:ascii="仿宋_GB2312" w:hAnsi="仿宋_GB2312" w:eastAsia="仿宋_GB2312" w:cs="仿宋_GB2312"/>
          <w:color w:val="auto"/>
          <w:sz w:val="32"/>
          <w:szCs w:val="32"/>
          <w:highlight w:val="none"/>
          <w:lang w:val="en-US" w:eastAsia="zh-CN"/>
        </w:rPr>
        <w:t>落实医保各项扶持政策，</w:t>
      </w:r>
      <w:commentRangeEnd w:id="5"/>
      <w:r>
        <w:rPr>
          <w:rFonts w:hint="eastAsia" w:ascii="仿宋_GB2312" w:hAnsi="仿宋_GB2312" w:eastAsia="仿宋_GB2312" w:cs="仿宋_GB2312"/>
          <w:color w:val="auto"/>
          <w:sz w:val="32"/>
          <w:szCs w:val="32"/>
          <w:highlight w:val="none"/>
          <w:lang w:val="en-US" w:eastAsia="zh-CN"/>
        </w:rPr>
        <w:commentReference w:id="5"/>
      </w:r>
      <w:commentRangeEnd w:id="6"/>
      <w:r>
        <w:rPr>
          <w:rFonts w:hint="eastAsia" w:ascii="仿宋_GB2312" w:hAnsi="仿宋_GB2312" w:eastAsia="仿宋_GB2312" w:cs="仿宋_GB2312"/>
          <w:color w:val="auto"/>
          <w:sz w:val="32"/>
          <w:szCs w:val="32"/>
          <w:highlight w:val="none"/>
          <w:lang w:val="en-US" w:eastAsia="zh-CN"/>
        </w:rPr>
        <w:commentReference w:id="6"/>
      </w:r>
      <w:r>
        <w:rPr>
          <w:rFonts w:hint="default" w:ascii="仿宋_GB2312" w:hAnsi="仿宋_GB2312" w:eastAsia="仿宋_GB2312" w:cs="仿宋_GB2312"/>
          <w:color w:val="auto"/>
          <w:sz w:val="32"/>
          <w:szCs w:val="32"/>
          <w:highlight w:val="none"/>
          <w:lang w:val="en-US" w:eastAsia="zh-CN"/>
        </w:rPr>
        <w:t>助力永春医药城高水平建设。</w:t>
      </w:r>
    </w:p>
    <w:p w14:paraId="001954A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推动中医药传承创新发展，以临床价值为导向，以中医优势服务、特色服务为重点，加大政策支持力度，探索符合中医药特点的医保支付方式。助力人参等产业高质量发展。</w:t>
      </w:r>
    </w:p>
    <w:p w14:paraId="24A4133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color w:val="auto"/>
          <w:sz w:val="32"/>
          <w:szCs w:val="32"/>
          <w:highlight w:val="none"/>
          <w:lang w:val="en-US" w:eastAsia="zh-CN"/>
        </w:rPr>
      </w:pPr>
      <w:r>
        <w:rPr>
          <w:rFonts w:hint="default" w:ascii="仿宋_GB2312" w:hAnsi="仿宋_GB2312" w:eastAsia="仿宋_GB2312" w:cs="仿宋_GB2312"/>
          <w:color w:val="auto"/>
          <w:sz w:val="32"/>
          <w:szCs w:val="32"/>
          <w:highlight w:val="none"/>
          <w:lang w:val="en-US" w:eastAsia="zh-CN"/>
        </w:rPr>
        <w:t>助力未来产业新赛道</w:t>
      </w:r>
      <w:r>
        <w:rPr>
          <w:rFonts w:hint="eastAsia" w:ascii="仿宋_GB2312" w:hAnsi="仿宋_GB2312" w:eastAsia="仿宋_GB2312" w:cs="仿宋_GB2312"/>
          <w:color w:val="auto"/>
          <w:sz w:val="32"/>
          <w:szCs w:val="32"/>
          <w:highlight w:val="none"/>
          <w:lang w:val="en-US" w:eastAsia="zh-CN"/>
        </w:rPr>
        <w:t>。落实</w:t>
      </w:r>
      <w:r>
        <w:rPr>
          <w:rFonts w:hint="default" w:ascii="仿宋_GB2312" w:hAnsi="仿宋_GB2312" w:eastAsia="仿宋_GB2312" w:cs="仿宋_GB2312"/>
          <w:color w:val="auto"/>
          <w:sz w:val="32"/>
          <w:szCs w:val="32"/>
          <w:highlight w:val="none"/>
          <w:lang w:val="en-US" w:eastAsia="zh-CN"/>
        </w:rPr>
        <w:t>“人工智能+民生”行动</w:t>
      </w:r>
      <w:r>
        <w:rPr>
          <w:rFonts w:hint="eastAsia" w:ascii="仿宋_GB2312" w:hAnsi="仿宋_GB2312" w:eastAsia="仿宋_GB2312" w:cs="仿宋_GB2312"/>
          <w:color w:val="auto"/>
          <w:sz w:val="32"/>
          <w:szCs w:val="32"/>
          <w:highlight w:val="none"/>
          <w:lang w:val="en-US" w:eastAsia="zh-CN"/>
        </w:rPr>
        <w:t>，</w:t>
      </w:r>
      <w:r>
        <w:rPr>
          <w:rFonts w:hint="default" w:ascii="仿宋_GB2312" w:hAnsi="仿宋_GB2312" w:eastAsia="仿宋_GB2312" w:cs="仿宋_GB2312"/>
          <w:color w:val="auto"/>
          <w:sz w:val="32"/>
          <w:szCs w:val="32"/>
          <w:highlight w:val="none"/>
          <w:lang w:val="en-US" w:eastAsia="zh-CN"/>
        </w:rPr>
        <w:t>培育</w:t>
      </w:r>
      <w:r>
        <w:rPr>
          <w:rFonts w:hint="eastAsia" w:ascii="仿宋_GB2312" w:hAnsi="仿宋_GB2312" w:eastAsia="仿宋_GB2312" w:cs="仿宋_GB2312"/>
          <w:color w:val="auto"/>
          <w:sz w:val="32"/>
          <w:szCs w:val="32"/>
          <w:highlight w:val="none"/>
          <w:lang w:val="en-US" w:eastAsia="zh-CN"/>
        </w:rPr>
        <w:t>“</w:t>
      </w:r>
      <w:r>
        <w:rPr>
          <w:rFonts w:hint="default" w:ascii="仿宋_GB2312" w:hAnsi="仿宋_GB2312" w:eastAsia="仿宋_GB2312" w:cs="仿宋_GB2312"/>
          <w:color w:val="auto"/>
          <w:sz w:val="32"/>
          <w:szCs w:val="32"/>
          <w:highlight w:val="none"/>
          <w:lang w:val="en-US" w:eastAsia="zh-CN"/>
        </w:rPr>
        <w:t>人工智能+医保</w:t>
      </w:r>
      <w:r>
        <w:rPr>
          <w:rFonts w:hint="eastAsia" w:ascii="仿宋_GB2312" w:hAnsi="仿宋_GB2312" w:eastAsia="仿宋_GB2312" w:cs="仿宋_GB2312"/>
          <w:color w:val="auto"/>
          <w:sz w:val="32"/>
          <w:szCs w:val="32"/>
          <w:highlight w:val="none"/>
          <w:lang w:val="en-US" w:eastAsia="zh-CN"/>
        </w:rPr>
        <w:t>”</w:t>
      </w:r>
      <w:r>
        <w:rPr>
          <w:rFonts w:hint="default" w:ascii="仿宋_GB2312" w:hAnsi="仿宋_GB2312" w:eastAsia="仿宋_GB2312" w:cs="仿宋_GB2312"/>
          <w:color w:val="auto"/>
          <w:sz w:val="32"/>
          <w:szCs w:val="32"/>
          <w:highlight w:val="none"/>
          <w:lang w:val="en-US" w:eastAsia="zh-CN"/>
        </w:rPr>
        <w:t>融合应用生态</w:t>
      </w:r>
      <w:r>
        <w:rPr>
          <w:rFonts w:hint="eastAsia" w:ascii="仿宋_GB2312" w:hAnsi="仿宋_GB2312" w:eastAsia="仿宋_GB2312" w:cs="仿宋_GB2312"/>
          <w:color w:val="auto"/>
          <w:sz w:val="32"/>
          <w:szCs w:val="32"/>
          <w:highlight w:val="none"/>
          <w:lang w:val="en-US" w:eastAsia="zh-CN"/>
        </w:rPr>
        <w:t>，</w:t>
      </w:r>
      <w:r>
        <w:rPr>
          <w:rFonts w:hint="default" w:ascii="仿宋_GB2312" w:hAnsi="仿宋_GB2312" w:eastAsia="仿宋_GB2312" w:cs="仿宋_GB2312"/>
          <w:color w:val="auto"/>
          <w:sz w:val="32"/>
          <w:szCs w:val="32"/>
          <w:highlight w:val="none"/>
          <w:lang w:val="en-US" w:eastAsia="zh-CN"/>
        </w:rPr>
        <w:t>打造智慧医保标杆应用场景</w:t>
      </w:r>
      <w:r>
        <w:rPr>
          <w:rFonts w:hint="eastAsia" w:ascii="仿宋_GB2312" w:hAnsi="仿宋_GB2312" w:eastAsia="仿宋_GB2312" w:cs="仿宋_GB2312"/>
          <w:color w:val="auto"/>
          <w:sz w:val="32"/>
          <w:szCs w:val="32"/>
          <w:highlight w:val="none"/>
          <w:lang w:val="en-US" w:eastAsia="zh-CN"/>
        </w:rPr>
        <w:t>。支持</w:t>
      </w:r>
      <w:r>
        <w:rPr>
          <w:rFonts w:hint="default" w:ascii="仿宋_GB2312" w:hAnsi="仿宋_GB2312" w:eastAsia="仿宋_GB2312" w:cs="仿宋_GB2312"/>
          <w:color w:val="auto"/>
          <w:sz w:val="32"/>
          <w:szCs w:val="32"/>
          <w:highlight w:val="none"/>
          <w:lang w:val="en-US" w:eastAsia="zh-CN"/>
        </w:rPr>
        <w:t>具身智能在医保经办</w:t>
      </w:r>
      <w:r>
        <w:rPr>
          <w:rFonts w:hint="eastAsia" w:ascii="仿宋_GB2312" w:hAnsi="仿宋_GB2312" w:eastAsia="仿宋_GB2312" w:cs="仿宋_GB2312"/>
          <w:color w:val="auto"/>
          <w:sz w:val="32"/>
          <w:szCs w:val="32"/>
          <w:highlight w:val="none"/>
          <w:lang w:val="en-US" w:eastAsia="zh-CN"/>
        </w:rPr>
        <w:t>、</w:t>
      </w:r>
      <w:r>
        <w:rPr>
          <w:rFonts w:hint="default" w:ascii="仿宋_GB2312" w:hAnsi="仿宋_GB2312" w:eastAsia="仿宋_GB2312" w:cs="仿宋_GB2312"/>
          <w:color w:val="auto"/>
          <w:sz w:val="32"/>
          <w:szCs w:val="32"/>
          <w:highlight w:val="none"/>
          <w:lang w:val="en-US" w:eastAsia="zh-CN"/>
        </w:rPr>
        <w:t>长期护理服务</w:t>
      </w:r>
      <w:r>
        <w:rPr>
          <w:rFonts w:hint="eastAsia" w:ascii="仿宋_GB2312" w:hAnsi="仿宋_GB2312" w:eastAsia="仿宋_GB2312" w:cs="仿宋_GB2312"/>
          <w:color w:val="auto"/>
          <w:sz w:val="32"/>
          <w:szCs w:val="32"/>
          <w:highlight w:val="none"/>
          <w:lang w:val="en-US" w:eastAsia="zh-CN"/>
        </w:rPr>
        <w:t>等</w:t>
      </w:r>
      <w:r>
        <w:rPr>
          <w:rFonts w:hint="default" w:ascii="仿宋_GB2312" w:hAnsi="仿宋_GB2312" w:eastAsia="仿宋_GB2312" w:cs="仿宋_GB2312"/>
          <w:color w:val="auto"/>
          <w:sz w:val="32"/>
          <w:szCs w:val="32"/>
          <w:highlight w:val="none"/>
          <w:lang w:val="en-US" w:eastAsia="zh-CN"/>
        </w:rPr>
        <w:t>领域应用。</w:t>
      </w:r>
    </w:p>
    <w:p w14:paraId="319A310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kern w:val="2"/>
          <w:sz w:val="32"/>
          <w:szCs w:val="40"/>
          <w:highlight w:val="none"/>
          <w:lang w:val="en-US" w:eastAsia="zh-CN" w:bidi="ar-SA"/>
        </w:rPr>
      </w:pPr>
      <w:r>
        <w:rPr>
          <w:rFonts w:hint="default" w:ascii="仿宋_GB2312" w:hAnsi="仿宋_GB2312" w:eastAsia="仿宋_GB2312" w:cs="仿宋_GB2312"/>
          <w:color w:val="auto"/>
          <w:sz w:val="32"/>
          <w:szCs w:val="32"/>
          <w:highlight w:val="none"/>
          <w:lang w:val="en-US" w:eastAsia="zh-CN"/>
        </w:rPr>
        <w:t>支持银发经济发展。将符合条件的</w:t>
      </w:r>
      <w:r>
        <w:rPr>
          <w:rFonts w:hint="eastAsia" w:ascii="仿宋_GB2312" w:hAnsi="仿宋_GB2312" w:eastAsia="仿宋_GB2312" w:cs="仿宋_GB2312"/>
          <w:color w:val="auto"/>
          <w:sz w:val="32"/>
          <w:szCs w:val="32"/>
          <w:highlight w:val="none"/>
          <w:lang w:val="en-US" w:eastAsia="zh-CN"/>
        </w:rPr>
        <w:t>旅居</w:t>
      </w:r>
      <w:r>
        <w:rPr>
          <w:rFonts w:hint="default" w:ascii="仿宋_GB2312" w:hAnsi="仿宋_GB2312" w:eastAsia="仿宋_GB2312" w:cs="仿宋_GB2312"/>
          <w:color w:val="auto"/>
          <w:sz w:val="32"/>
          <w:szCs w:val="32"/>
          <w:highlight w:val="none"/>
          <w:lang w:val="en-US" w:eastAsia="zh-CN"/>
        </w:rPr>
        <w:t>康养机构</w:t>
      </w:r>
      <w:r>
        <w:rPr>
          <w:rFonts w:hint="eastAsia" w:ascii="仿宋_GB2312" w:hAnsi="仿宋_GB2312" w:eastAsia="仿宋_GB2312" w:cs="仿宋_GB2312"/>
          <w:color w:val="auto"/>
          <w:sz w:val="32"/>
          <w:szCs w:val="32"/>
          <w:highlight w:val="none"/>
          <w:lang w:val="en-US" w:eastAsia="zh-CN"/>
        </w:rPr>
        <w:t>内设医疗机构</w:t>
      </w:r>
      <w:r>
        <w:rPr>
          <w:rFonts w:hint="default" w:ascii="仿宋_GB2312" w:hAnsi="仿宋_GB2312" w:eastAsia="仿宋_GB2312" w:cs="仿宋_GB2312"/>
          <w:color w:val="auto"/>
          <w:sz w:val="32"/>
          <w:szCs w:val="32"/>
          <w:highlight w:val="none"/>
          <w:lang w:val="en-US" w:eastAsia="zh-CN"/>
        </w:rPr>
        <w:t>纳入</w:t>
      </w:r>
      <w:r>
        <w:rPr>
          <w:rFonts w:hint="eastAsia" w:ascii="仿宋_GB2312" w:hAnsi="仿宋_GB2312" w:eastAsia="仿宋_GB2312" w:cs="仿宋_GB2312"/>
          <w:color w:val="auto"/>
          <w:sz w:val="32"/>
          <w:szCs w:val="32"/>
          <w:highlight w:val="none"/>
          <w:lang w:val="en-US" w:eastAsia="zh-CN"/>
        </w:rPr>
        <w:t>医保</w:t>
      </w:r>
      <w:r>
        <w:rPr>
          <w:rFonts w:hint="default" w:ascii="仿宋_GB2312" w:hAnsi="仿宋_GB2312" w:eastAsia="仿宋_GB2312" w:cs="仿宋_GB2312"/>
          <w:color w:val="auto"/>
          <w:sz w:val="32"/>
          <w:szCs w:val="32"/>
          <w:highlight w:val="none"/>
          <w:lang w:val="en-US" w:eastAsia="zh-CN"/>
        </w:rPr>
        <w:t>定点管理</w:t>
      </w:r>
      <w:r>
        <w:rPr>
          <w:rFonts w:hint="eastAsia" w:ascii="仿宋_GB2312" w:hAnsi="仿宋_GB2312" w:eastAsia="仿宋_GB2312" w:cs="仿宋_GB2312"/>
          <w:color w:val="auto"/>
          <w:sz w:val="32"/>
          <w:szCs w:val="32"/>
          <w:highlight w:val="none"/>
          <w:lang w:val="en-US" w:eastAsia="zh-CN"/>
        </w:rPr>
        <w:t>。</w:t>
      </w:r>
      <w:r>
        <w:rPr>
          <w:rFonts w:hint="default" w:ascii="仿宋_GB2312" w:hAnsi="仿宋_GB2312" w:eastAsia="仿宋_GB2312" w:cs="仿宋_GB2312"/>
          <w:color w:val="auto"/>
          <w:sz w:val="32"/>
          <w:szCs w:val="32"/>
          <w:highlight w:val="none"/>
          <w:lang w:val="en-US" w:eastAsia="zh-CN"/>
        </w:rPr>
        <w:t>优化旅居养老人员异地就医直接结算，助力康养集聚区建设。</w:t>
      </w:r>
      <w:bookmarkStart w:id="1308" w:name="_Toc30059"/>
    </w:p>
    <w:p w14:paraId="6C3050ED">
      <w:pPr>
        <w:pStyle w:val="5"/>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both"/>
        <w:textAlignment w:val="auto"/>
        <w:outlineLvl w:val="1"/>
        <w:rPr>
          <w:rFonts w:hint="default" w:ascii="宋体" w:hAnsi="宋体" w:eastAsia="楷体_GB2312" w:cs="Times New Roman"/>
          <w:b w:val="0"/>
          <w:bCs/>
          <w:color w:val="auto"/>
          <w:sz w:val="32"/>
          <w:szCs w:val="36"/>
          <w:highlight w:val="none"/>
          <w:lang w:val="en-US" w:eastAsia="zh-CN" w:bidi="ar"/>
        </w:rPr>
      </w:pPr>
      <w:bookmarkStart w:id="1309" w:name="_Toc8214"/>
      <w:bookmarkStart w:id="1310" w:name="_Toc5957"/>
      <w:bookmarkStart w:id="1311" w:name="_Toc172"/>
      <w:bookmarkStart w:id="1312" w:name="_Toc26045"/>
      <w:bookmarkStart w:id="1313" w:name="_Toc20634"/>
      <w:bookmarkStart w:id="1314" w:name="_Toc8261"/>
      <w:bookmarkStart w:id="1315" w:name="_Toc19458"/>
      <w:bookmarkStart w:id="1316" w:name="_Toc16440"/>
      <w:bookmarkStart w:id="1317" w:name="_Toc32520"/>
      <w:bookmarkStart w:id="1318" w:name="_Toc25317"/>
      <w:bookmarkStart w:id="1319" w:name="_Toc28360"/>
      <w:bookmarkStart w:id="1320" w:name="_Toc10765"/>
      <w:bookmarkStart w:id="1321" w:name="_Toc18945"/>
      <w:bookmarkStart w:id="1322" w:name="_Toc25319"/>
      <w:bookmarkStart w:id="1323" w:name="_Toc11753"/>
      <w:r>
        <w:rPr>
          <w:rFonts w:hint="default" w:ascii="宋体" w:hAnsi="宋体" w:eastAsia="楷体_GB2312" w:cs="Times New Roman"/>
          <w:b w:val="0"/>
          <w:bCs/>
          <w:color w:val="auto"/>
          <w:sz w:val="32"/>
          <w:szCs w:val="36"/>
          <w:highlight w:val="none"/>
          <w:lang w:eastAsia="zh-CN" w:bidi="ar"/>
        </w:rPr>
        <w:t>（</w:t>
      </w:r>
      <w:r>
        <w:rPr>
          <w:rFonts w:hint="eastAsia" w:ascii="宋体" w:hAnsi="宋体" w:eastAsia="楷体_GB2312" w:cs="Times New Roman"/>
          <w:b w:val="0"/>
          <w:bCs/>
          <w:color w:val="auto"/>
          <w:sz w:val="32"/>
          <w:szCs w:val="36"/>
          <w:highlight w:val="none"/>
          <w:lang w:val="en-US" w:eastAsia="zh-CN" w:bidi="ar"/>
        </w:rPr>
        <w:t>二十六</w:t>
      </w:r>
      <w:r>
        <w:rPr>
          <w:rFonts w:hint="default" w:ascii="宋体" w:hAnsi="宋体" w:eastAsia="楷体_GB2312" w:cs="Times New Roman"/>
          <w:b w:val="0"/>
          <w:bCs/>
          <w:color w:val="auto"/>
          <w:sz w:val="32"/>
          <w:szCs w:val="36"/>
          <w:highlight w:val="none"/>
          <w:lang w:eastAsia="zh-CN" w:bidi="ar"/>
        </w:rPr>
        <w:t>）</w:t>
      </w:r>
      <w:commentRangeStart w:id="7"/>
      <w:r>
        <w:rPr>
          <w:rFonts w:hint="eastAsia" w:ascii="宋体" w:hAnsi="宋体" w:eastAsia="楷体_GB2312" w:cs="Times New Roman"/>
          <w:b w:val="0"/>
          <w:bCs/>
          <w:color w:val="auto"/>
          <w:sz w:val="32"/>
          <w:szCs w:val="36"/>
          <w:highlight w:val="none"/>
          <w:lang w:val="en-US" w:eastAsia="zh-CN" w:bidi="ar"/>
        </w:rPr>
        <w:t>支持</w:t>
      </w:r>
      <w:r>
        <w:rPr>
          <w:rFonts w:hint="default" w:ascii="宋体" w:hAnsi="宋体" w:eastAsia="楷体_GB2312" w:cs="Times New Roman"/>
          <w:b w:val="0"/>
          <w:bCs/>
          <w:color w:val="auto"/>
          <w:sz w:val="32"/>
          <w:szCs w:val="36"/>
          <w:highlight w:val="none"/>
          <w:lang w:eastAsia="zh-CN" w:bidi="ar"/>
        </w:rPr>
        <w:t>长春</w:t>
      </w:r>
      <w:r>
        <w:rPr>
          <w:rFonts w:hint="eastAsia" w:eastAsia="楷体_GB2312" w:cs="Times New Roman"/>
          <w:b w:val="0"/>
          <w:bCs/>
          <w:color w:val="auto"/>
          <w:sz w:val="32"/>
          <w:szCs w:val="36"/>
          <w:highlight w:val="none"/>
          <w:lang w:val="en-US" w:eastAsia="zh-CN" w:bidi="ar"/>
        </w:rPr>
        <w:t>现代化</w:t>
      </w:r>
      <w:r>
        <w:rPr>
          <w:rFonts w:hint="default" w:ascii="宋体" w:hAnsi="宋体" w:eastAsia="楷体_GB2312" w:cs="Times New Roman"/>
          <w:b w:val="0"/>
          <w:bCs/>
          <w:color w:val="auto"/>
          <w:sz w:val="32"/>
          <w:szCs w:val="36"/>
          <w:highlight w:val="none"/>
          <w:lang w:eastAsia="zh-CN" w:bidi="ar"/>
        </w:rPr>
        <w:t>都市圈建设</w:t>
      </w:r>
      <w:commentRangeEnd w:id="7"/>
      <w:r>
        <w:rPr>
          <w:rFonts w:hint="default" w:ascii="宋体" w:hAnsi="宋体" w:eastAsia="楷体_GB2312" w:cs="Times New Roman"/>
          <w:b w:val="0"/>
          <w:bCs/>
          <w:color w:val="auto"/>
          <w:sz w:val="32"/>
          <w:szCs w:val="36"/>
          <w:highlight w:val="none"/>
          <w:lang w:eastAsia="zh-CN" w:bidi="ar"/>
        </w:rPr>
        <w:commentReference w:id="7"/>
      </w:r>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p>
    <w:bookmarkEnd w:id="1299"/>
    <w:bookmarkEnd w:id="1300"/>
    <w:bookmarkEnd w:id="1301"/>
    <w:bookmarkEnd w:id="1302"/>
    <w:bookmarkEnd w:id="1303"/>
    <w:bookmarkEnd w:id="1304"/>
    <w:bookmarkEnd w:id="1305"/>
    <w:bookmarkEnd w:id="1306"/>
    <w:bookmarkEnd w:id="1307"/>
    <w:p w14:paraId="6C38B10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深化长春</w:t>
      </w:r>
      <w:r>
        <w:rPr>
          <w:rFonts w:hint="eastAsia" w:ascii="仿宋_GB2312" w:hAnsi="仿宋_GB2312" w:eastAsia="仿宋_GB2312" w:cs="仿宋_GB2312"/>
          <w:b w:val="0"/>
          <w:bCs/>
          <w:color w:val="auto"/>
          <w:sz w:val="32"/>
          <w:szCs w:val="36"/>
          <w:highlight w:val="none"/>
          <w:lang w:val="en-US" w:eastAsia="zh-CN" w:bidi="ar"/>
        </w:rPr>
        <w:t>现代化</w:t>
      </w:r>
      <w:r>
        <w:rPr>
          <w:rFonts w:hint="eastAsia" w:ascii="仿宋_GB2312" w:hAnsi="仿宋_GB2312" w:eastAsia="仿宋_GB2312" w:cs="仿宋_GB2312"/>
          <w:color w:val="auto"/>
          <w:sz w:val="32"/>
          <w:szCs w:val="32"/>
          <w:highlight w:val="none"/>
          <w:lang w:val="en-US" w:eastAsia="zh-CN"/>
        </w:rPr>
        <w:t>都市圈医保高质量一体化发展，实现圈内医疗保障政策趋同、服务均等，协同推进医疗服务价格与集中采购管理、基金监管、医保支付方式改革。统一参保缴费、待遇申领、异地就医等核心业务办理标准与操作规范，推动更多高频事项“圈内通办”，提升“医保驿站”服务质效。</w:t>
      </w:r>
    </w:p>
    <w:tbl>
      <w:tblPr>
        <w:tblStyle w:val="15"/>
        <w:tblW w:w="5000" w:type="pct"/>
        <w:jc w:val="center"/>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autofit"/>
        <w:tblCellMar>
          <w:top w:w="0" w:type="dxa"/>
          <w:left w:w="0" w:type="dxa"/>
          <w:bottom w:w="0" w:type="dxa"/>
          <w:right w:w="0" w:type="dxa"/>
        </w:tblCellMar>
      </w:tblPr>
      <w:tblGrid>
        <w:gridCol w:w="9061"/>
      </w:tblGrid>
      <w:tr w14:paraId="43A1B735">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537" w:hRule="atLeast"/>
          <w:jc w:val="center"/>
        </w:trPr>
        <w:tc>
          <w:tcPr>
            <w:tcW w:w="5000" w:type="pct"/>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592420A3">
            <w:pPr>
              <w:pStyle w:val="18"/>
              <w:keepNext w:val="0"/>
              <w:keepLines w:val="0"/>
              <w:suppressLineNumbers w:val="0"/>
              <w:spacing w:before="0" w:beforeAutospacing="0" w:after="0" w:afterAutospacing="0"/>
              <w:ind w:left="0" w:right="0" w:firstLineChars="200"/>
              <w:jc w:val="center"/>
              <w:outlineLvl w:val="9"/>
              <w:rPr>
                <w:rFonts w:hint="default" w:ascii="Times New Roman" w:hAnsi="Times New Roman" w:eastAsia="黑体" w:cs="Times New Roman"/>
                <w:snapToGrid/>
                <w:color w:val="auto"/>
                <w:sz w:val="28"/>
                <w:szCs w:val="28"/>
                <w:highlight w:val="none"/>
                <w:lang w:val="en-US" w:eastAsia="zh-CN" w:bidi="ar"/>
              </w:rPr>
            </w:pPr>
            <w:r>
              <w:rPr>
                <w:rFonts w:hint="default" w:ascii="Times New Roman" w:hAnsi="Times New Roman" w:eastAsia="黑体" w:cs="Times New Roman"/>
                <w:color w:val="auto"/>
                <w:sz w:val="28"/>
                <w:szCs w:val="28"/>
                <w:highlight w:val="none"/>
                <w:lang w:bidi="ar"/>
              </w:rPr>
              <w:t>专栏</w:t>
            </w:r>
            <w:r>
              <w:rPr>
                <w:rFonts w:hint="eastAsia" w:ascii="Times New Roman" w:hAnsi="Times New Roman" w:eastAsia="黑体" w:cs="Times New Roman"/>
                <w:color w:val="auto"/>
                <w:sz w:val="28"/>
                <w:szCs w:val="28"/>
                <w:highlight w:val="none"/>
                <w:lang w:val="en-US" w:eastAsia="zh-CN" w:bidi="ar"/>
              </w:rPr>
              <w:t>7</w:t>
            </w:r>
            <w:r>
              <w:rPr>
                <w:rFonts w:hint="default" w:ascii="Times New Roman" w:hAnsi="Times New Roman" w:eastAsia="黑体" w:cs="Times New Roman"/>
                <w:color w:val="auto"/>
                <w:sz w:val="28"/>
                <w:szCs w:val="28"/>
                <w:highlight w:val="none"/>
                <w:lang w:bidi="ar"/>
              </w:rPr>
              <w:t xml:space="preserve">  </w:t>
            </w:r>
            <w:r>
              <w:rPr>
                <w:rFonts w:hint="default" w:ascii="Times New Roman" w:hAnsi="Times New Roman" w:eastAsia="黑体" w:cs="Times New Roman"/>
                <w:color w:val="auto"/>
                <w:kern w:val="0"/>
                <w:sz w:val="28"/>
                <w:szCs w:val="28"/>
                <w:highlight w:val="none"/>
                <w:lang w:bidi="ar"/>
              </w:rPr>
              <w:t>长春</w:t>
            </w:r>
            <w:r>
              <w:rPr>
                <w:rFonts w:hint="eastAsia" w:ascii="Times New Roman" w:hAnsi="Times New Roman" w:eastAsia="黑体" w:cs="Times New Roman"/>
                <w:color w:val="auto"/>
                <w:kern w:val="0"/>
                <w:sz w:val="28"/>
                <w:szCs w:val="28"/>
                <w:highlight w:val="none"/>
                <w:lang w:val="en-US" w:eastAsia="zh-CN" w:bidi="ar"/>
              </w:rPr>
              <w:t>现代化</w:t>
            </w:r>
            <w:r>
              <w:rPr>
                <w:rFonts w:hint="default" w:ascii="Times New Roman" w:hAnsi="Times New Roman" w:eastAsia="黑体" w:cs="Times New Roman"/>
                <w:color w:val="auto"/>
                <w:kern w:val="0"/>
                <w:sz w:val="28"/>
                <w:szCs w:val="28"/>
                <w:highlight w:val="none"/>
                <w:lang w:bidi="ar"/>
              </w:rPr>
              <w:t>都市圈医保协同发展</w:t>
            </w:r>
          </w:p>
        </w:tc>
      </w:tr>
      <w:tr w14:paraId="327314D0">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90" w:hRule="atLeast"/>
          <w:jc w:val="center"/>
        </w:trPr>
        <w:tc>
          <w:tcPr>
            <w:tcW w:w="5000" w:type="pct"/>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405F79F2">
            <w:pPr>
              <w:keepNext w:val="0"/>
              <w:keepLines w:val="0"/>
              <w:suppressLineNumbers w:val="0"/>
              <w:spacing w:before="0" w:beforeAutospacing="0" w:after="0" w:afterAutospacing="0" w:line="400" w:lineRule="exact"/>
              <w:ind w:left="0" w:right="0" w:firstLine="420" w:firstLineChars="200"/>
              <w:rPr>
                <w:rFonts w:hint="default" w:ascii="宋体" w:hAnsi="宋体" w:eastAsia="宋体" w:cs="宋体"/>
                <w:snapToGrid w:val="0"/>
                <w:color w:val="auto"/>
                <w:sz w:val="21"/>
                <w:szCs w:val="21"/>
                <w:highlight w:val="none"/>
                <w:lang w:bidi="ar"/>
              </w:rPr>
            </w:pPr>
            <w:r>
              <w:rPr>
                <w:rFonts w:hint="eastAsia" w:ascii="宋体" w:hAnsi="宋体" w:eastAsia="宋体" w:cs="宋体"/>
                <w:snapToGrid w:val="0"/>
                <w:color w:val="auto"/>
                <w:sz w:val="21"/>
                <w:szCs w:val="21"/>
                <w:highlight w:val="none"/>
                <w:lang w:bidi="ar"/>
              </w:rPr>
              <w:t>1.医疗服务价格</w:t>
            </w:r>
            <w:r>
              <w:rPr>
                <w:rFonts w:hint="eastAsia" w:ascii="宋体" w:hAnsi="宋体" w:eastAsia="宋体" w:cs="宋体"/>
                <w:snapToGrid w:val="0"/>
                <w:color w:val="auto"/>
                <w:sz w:val="21"/>
                <w:szCs w:val="21"/>
                <w:highlight w:val="none"/>
                <w:lang w:val="en-US" w:eastAsia="zh-CN" w:bidi="ar"/>
              </w:rPr>
              <w:t>政策</w:t>
            </w:r>
            <w:r>
              <w:rPr>
                <w:rFonts w:hint="eastAsia" w:ascii="宋体" w:hAnsi="宋体" w:eastAsia="宋体" w:cs="宋体"/>
                <w:snapToGrid w:val="0"/>
                <w:color w:val="auto"/>
                <w:sz w:val="21"/>
                <w:szCs w:val="21"/>
                <w:highlight w:val="none"/>
                <w:lang w:bidi="ar"/>
              </w:rPr>
              <w:t>协同。落实国家和省医疗服务价格改革要求，推动都市圈医疗服务</w:t>
            </w:r>
            <w:r>
              <w:rPr>
                <w:rFonts w:hint="eastAsia" w:ascii="宋体" w:hAnsi="宋体" w:eastAsia="宋体" w:cs="宋体"/>
                <w:snapToGrid w:val="0"/>
                <w:color w:val="auto"/>
                <w:sz w:val="21"/>
                <w:szCs w:val="21"/>
                <w:highlight w:val="none"/>
                <w:lang w:val="en-US" w:eastAsia="zh-CN" w:bidi="ar"/>
              </w:rPr>
              <w:t>价格管理政策互通</w:t>
            </w:r>
            <w:r>
              <w:rPr>
                <w:rFonts w:hint="eastAsia" w:ascii="宋体" w:hAnsi="宋体" w:eastAsia="宋体" w:cs="宋体"/>
                <w:snapToGrid w:val="0"/>
                <w:color w:val="auto"/>
                <w:sz w:val="21"/>
                <w:szCs w:val="21"/>
                <w:highlight w:val="none"/>
                <w:lang w:bidi="ar"/>
              </w:rPr>
              <w:t>，逐步实现区域价格管理政策趋同。</w:t>
            </w:r>
          </w:p>
          <w:p w14:paraId="629D4572">
            <w:pPr>
              <w:keepNext w:val="0"/>
              <w:keepLines w:val="0"/>
              <w:suppressLineNumbers w:val="0"/>
              <w:spacing w:before="0" w:beforeAutospacing="0" w:after="0" w:afterAutospacing="0" w:line="400" w:lineRule="exact"/>
              <w:ind w:left="0" w:right="0" w:firstLine="420" w:firstLineChars="200"/>
              <w:rPr>
                <w:rFonts w:hint="eastAsia" w:ascii="宋体" w:hAnsi="宋体" w:eastAsia="宋体" w:cs="宋体"/>
                <w:snapToGrid w:val="0"/>
                <w:color w:val="auto"/>
                <w:sz w:val="21"/>
                <w:szCs w:val="21"/>
                <w:highlight w:val="none"/>
                <w:lang w:bidi="ar"/>
              </w:rPr>
            </w:pPr>
            <w:r>
              <w:rPr>
                <w:rFonts w:hint="eastAsia" w:ascii="宋体" w:hAnsi="宋体" w:eastAsia="宋体" w:cs="宋体"/>
                <w:snapToGrid w:val="0"/>
                <w:color w:val="auto"/>
                <w:sz w:val="21"/>
                <w:szCs w:val="21"/>
                <w:highlight w:val="none"/>
                <w:lang w:val="en-US" w:eastAsia="zh-CN" w:bidi="ar"/>
              </w:rPr>
              <w:t>2.</w:t>
            </w:r>
            <w:r>
              <w:rPr>
                <w:rFonts w:hint="eastAsia" w:ascii="宋体" w:hAnsi="宋体" w:eastAsia="宋体" w:cs="宋体"/>
                <w:snapToGrid w:val="0"/>
                <w:color w:val="auto"/>
                <w:sz w:val="21"/>
                <w:szCs w:val="21"/>
                <w:highlight w:val="none"/>
                <w:lang w:bidi="ar"/>
              </w:rPr>
              <w:t>药品医用耗材集采协同。联动</w:t>
            </w:r>
            <w:r>
              <w:rPr>
                <w:rFonts w:hint="eastAsia" w:ascii="宋体" w:hAnsi="宋体" w:eastAsia="宋体" w:cs="宋体"/>
                <w:snapToGrid w:val="0"/>
                <w:color w:val="auto"/>
                <w:sz w:val="21"/>
                <w:szCs w:val="21"/>
                <w:highlight w:val="none"/>
                <w:lang w:val="en-US" w:eastAsia="zh-CN" w:bidi="ar"/>
              </w:rPr>
              <w:t>落实</w:t>
            </w:r>
            <w:r>
              <w:rPr>
                <w:rFonts w:hint="eastAsia" w:ascii="宋体" w:hAnsi="宋体" w:eastAsia="宋体" w:cs="宋体"/>
                <w:snapToGrid w:val="0"/>
                <w:color w:val="auto"/>
                <w:sz w:val="21"/>
                <w:szCs w:val="21"/>
                <w:highlight w:val="none"/>
                <w:lang w:bidi="ar"/>
              </w:rPr>
              <w:t>国家</w:t>
            </w:r>
            <w:r>
              <w:rPr>
                <w:rFonts w:hint="eastAsia" w:ascii="宋体" w:hAnsi="宋体" w:eastAsia="宋体" w:cs="宋体"/>
                <w:snapToGrid w:val="0"/>
                <w:color w:val="auto"/>
                <w:sz w:val="21"/>
                <w:szCs w:val="21"/>
                <w:highlight w:val="none"/>
                <w:lang w:val="en-US" w:eastAsia="zh-CN" w:bidi="ar"/>
              </w:rPr>
              <w:t>及</w:t>
            </w:r>
            <w:r>
              <w:rPr>
                <w:rFonts w:hint="eastAsia" w:ascii="宋体" w:hAnsi="宋体" w:eastAsia="宋体" w:cs="宋体"/>
                <w:snapToGrid w:val="0"/>
                <w:color w:val="auto"/>
                <w:sz w:val="21"/>
                <w:szCs w:val="21"/>
                <w:highlight w:val="none"/>
                <w:lang w:bidi="ar"/>
              </w:rPr>
              <w:t>省际联盟集采政策，</w:t>
            </w:r>
            <w:r>
              <w:rPr>
                <w:rFonts w:hint="eastAsia" w:ascii="宋体" w:hAnsi="宋体" w:eastAsia="宋体" w:cs="宋体"/>
                <w:snapToGrid w:val="0"/>
                <w:color w:val="auto"/>
                <w:sz w:val="21"/>
                <w:szCs w:val="21"/>
                <w:highlight w:val="none"/>
                <w:lang w:val="en" w:bidi="ar"/>
              </w:rPr>
              <w:t>适时扩大省内</w:t>
            </w:r>
            <w:r>
              <w:rPr>
                <w:rFonts w:hint="eastAsia" w:ascii="宋体" w:hAnsi="宋体" w:eastAsia="宋体" w:cs="宋体"/>
                <w:snapToGrid w:val="0"/>
                <w:color w:val="auto"/>
                <w:sz w:val="21"/>
                <w:szCs w:val="21"/>
                <w:highlight w:val="none"/>
                <w:lang w:bidi="ar"/>
              </w:rPr>
              <w:t>医疗机构联动采购联盟</w:t>
            </w:r>
            <w:r>
              <w:rPr>
                <w:rFonts w:hint="eastAsia" w:ascii="宋体" w:hAnsi="宋体" w:eastAsia="宋体" w:cs="宋体"/>
                <w:snapToGrid w:val="0"/>
                <w:color w:val="auto"/>
                <w:sz w:val="21"/>
                <w:szCs w:val="21"/>
                <w:highlight w:val="none"/>
                <w:lang w:val="en" w:bidi="ar"/>
              </w:rPr>
              <w:t>集采参与范围，</w:t>
            </w:r>
            <w:r>
              <w:rPr>
                <w:rFonts w:hint="eastAsia" w:ascii="宋体" w:hAnsi="宋体" w:eastAsia="宋体" w:cs="宋体"/>
                <w:snapToGrid w:val="0"/>
                <w:color w:val="auto"/>
                <w:sz w:val="21"/>
                <w:szCs w:val="21"/>
                <w:highlight w:val="none"/>
                <w:lang w:bidi="ar"/>
              </w:rPr>
              <w:t>推进圈内挂网采购目录信息衔接，强化中选产品落地、供应保障协同。</w:t>
            </w:r>
          </w:p>
          <w:p w14:paraId="67C0E4A5">
            <w:pPr>
              <w:keepNext w:val="0"/>
              <w:keepLines w:val="0"/>
              <w:suppressLineNumbers w:val="0"/>
              <w:spacing w:before="0" w:beforeAutospacing="0" w:after="0" w:afterAutospacing="0" w:line="400" w:lineRule="exact"/>
              <w:ind w:left="0" w:right="0" w:firstLine="420" w:firstLineChars="200"/>
              <w:rPr>
                <w:rFonts w:hint="default" w:ascii="Times New Roman" w:hAnsi="Times New Roman" w:eastAsia="宋体" w:cs="Times New Roman"/>
                <w:snapToGrid w:val="0"/>
                <w:color w:val="auto"/>
                <w:sz w:val="24"/>
                <w:highlight w:val="none"/>
                <w:lang w:val="en-US" w:eastAsia="zh-CN" w:bidi="ar"/>
              </w:rPr>
            </w:pPr>
            <w:r>
              <w:rPr>
                <w:rFonts w:hint="eastAsia" w:ascii="宋体" w:hAnsi="宋体" w:eastAsia="宋体" w:cs="宋体"/>
                <w:snapToGrid w:val="0"/>
                <w:color w:val="auto"/>
                <w:sz w:val="21"/>
                <w:szCs w:val="21"/>
                <w:highlight w:val="none"/>
                <w:lang w:val="en-US" w:eastAsia="zh-CN" w:bidi="ar"/>
              </w:rPr>
              <w:t>3</w:t>
            </w:r>
            <w:r>
              <w:rPr>
                <w:rFonts w:hint="eastAsia" w:ascii="宋体" w:hAnsi="宋体" w:eastAsia="宋体" w:cs="宋体"/>
                <w:snapToGrid w:val="0"/>
                <w:color w:val="auto"/>
                <w:sz w:val="21"/>
                <w:szCs w:val="21"/>
                <w:highlight w:val="none"/>
                <w:lang w:bidi="ar"/>
              </w:rPr>
              <w:t>.医保政务服务事项“圈内通办”。推进</w:t>
            </w:r>
            <w:r>
              <w:rPr>
                <w:rFonts w:hint="eastAsia" w:ascii="宋体" w:hAnsi="宋体" w:eastAsia="宋体" w:cs="宋体"/>
                <w:snapToGrid w:val="0"/>
                <w:color w:val="auto"/>
                <w:sz w:val="21"/>
                <w:szCs w:val="21"/>
                <w:highlight w:val="none"/>
                <w:lang w:val="en-US" w:eastAsia="zh-CN" w:bidi="ar"/>
              </w:rPr>
              <w:t>实现</w:t>
            </w:r>
            <w:r>
              <w:rPr>
                <w:rFonts w:hint="eastAsia" w:ascii="宋体" w:hAnsi="宋体" w:eastAsia="宋体" w:cs="宋体"/>
                <w:snapToGrid w:val="0"/>
                <w:color w:val="auto"/>
                <w:sz w:val="21"/>
                <w:szCs w:val="21"/>
                <w:highlight w:val="none"/>
                <w:lang w:bidi="ar"/>
              </w:rPr>
              <w:t>医保经办</w:t>
            </w:r>
            <w:r>
              <w:rPr>
                <w:rFonts w:hint="eastAsia" w:ascii="宋体" w:hAnsi="宋体" w:eastAsia="宋体" w:cs="宋体"/>
                <w:snapToGrid w:val="0"/>
                <w:color w:val="auto"/>
                <w:sz w:val="21"/>
                <w:szCs w:val="21"/>
                <w:highlight w:val="none"/>
                <w:lang w:val="en-US" w:eastAsia="zh-CN" w:bidi="ar"/>
              </w:rPr>
              <w:t>事项跨域办理</w:t>
            </w:r>
            <w:r>
              <w:rPr>
                <w:rFonts w:hint="eastAsia" w:ascii="宋体" w:hAnsi="宋体" w:eastAsia="宋体" w:cs="宋体"/>
                <w:snapToGrid w:val="0"/>
                <w:color w:val="auto"/>
                <w:sz w:val="21"/>
                <w:szCs w:val="21"/>
                <w:highlight w:val="none"/>
                <w:lang w:bidi="ar"/>
              </w:rPr>
              <w:t>，破除统筹区办理壁垒，统一</w:t>
            </w:r>
            <w:r>
              <w:rPr>
                <w:rFonts w:hint="eastAsia" w:ascii="宋体" w:hAnsi="宋体" w:eastAsia="宋体" w:cs="宋体"/>
                <w:snapToGrid w:val="0"/>
                <w:color w:val="auto"/>
                <w:sz w:val="21"/>
                <w:szCs w:val="21"/>
                <w:highlight w:val="none"/>
                <w:lang w:val="en-US" w:eastAsia="zh-CN" w:bidi="ar"/>
              </w:rPr>
              <w:t>通办</w:t>
            </w:r>
            <w:r>
              <w:rPr>
                <w:rFonts w:hint="eastAsia" w:ascii="宋体" w:hAnsi="宋体" w:eastAsia="宋体" w:cs="宋体"/>
                <w:snapToGrid w:val="0"/>
                <w:color w:val="auto"/>
                <w:sz w:val="21"/>
                <w:szCs w:val="21"/>
                <w:highlight w:val="none"/>
                <w:lang w:bidi="ar"/>
              </w:rPr>
              <w:t>规范、升级业务系统、健全跨域响应机制，落实事项无差别受理、同标准办理，实现高频医保事项圈内通办</w:t>
            </w:r>
            <w:r>
              <w:rPr>
                <w:rFonts w:hint="eastAsia" w:ascii="宋体" w:hAnsi="宋体" w:eastAsia="宋体" w:cs="宋体"/>
                <w:snapToGrid w:val="0"/>
                <w:color w:val="auto"/>
                <w:sz w:val="21"/>
                <w:szCs w:val="21"/>
                <w:highlight w:val="none"/>
                <w:lang w:val="en-US" w:eastAsia="zh-CN" w:bidi="ar"/>
              </w:rPr>
              <w:t>。</w:t>
            </w:r>
          </w:p>
        </w:tc>
      </w:tr>
    </w:tbl>
    <w:p w14:paraId="03A3AA33">
      <w:pPr>
        <w:pStyle w:val="4"/>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both"/>
        <w:textAlignment w:val="auto"/>
        <w:outlineLvl w:val="0"/>
        <w:rPr>
          <w:rFonts w:hint="eastAsia" w:ascii="黑体" w:hAnsi="黑体" w:eastAsia="黑体" w:cs="黑体"/>
          <w:b w:val="0"/>
          <w:bCs w:val="0"/>
          <w:color w:val="auto"/>
          <w:sz w:val="32"/>
          <w:szCs w:val="32"/>
          <w:highlight w:val="none"/>
        </w:rPr>
      </w:pPr>
      <w:bookmarkStart w:id="1324" w:name="_Toc30405"/>
      <w:bookmarkStart w:id="1325" w:name="_Toc22806"/>
      <w:bookmarkStart w:id="1326" w:name="_Toc4920"/>
      <w:bookmarkStart w:id="1327" w:name="_Toc9942"/>
      <w:bookmarkStart w:id="1328" w:name="_Toc28412"/>
      <w:bookmarkStart w:id="1329" w:name="_Toc12747"/>
      <w:bookmarkStart w:id="1330" w:name="_Toc31050"/>
      <w:bookmarkStart w:id="1331" w:name="_Toc17845"/>
      <w:bookmarkStart w:id="1332" w:name="_Toc19365"/>
      <w:bookmarkStart w:id="1333" w:name="_Toc21646"/>
      <w:bookmarkStart w:id="1334" w:name="_Toc2904"/>
      <w:bookmarkStart w:id="1335" w:name="_Toc6024"/>
      <w:bookmarkStart w:id="1336" w:name="_Toc4331"/>
      <w:bookmarkStart w:id="1337" w:name="_Toc953"/>
      <w:bookmarkStart w:id="1338" w:name="_Toc16938"/>
      <w:bookmarkStart w:id="1339" w:name="_Toc26907"/>
      <w:bookmarkStart w:id="1340" w:name="_Toc23571"/>
      <w:bookmarkStart w:id="1341" w:name="_Toc13806"/>
      <w:bookmarkStart w:id="1342" w:name="_Toc5685"/>
      <w:bookmarkStart w:id="1343" w:name="_Toc31675"/>
      <w:bookmarkStart w:id="1344" w:name="_Toc6329"/>
      <w:bookmarkStart w:id="1345" w:name="_Toc24291"/>
      <w:bookmarkStart w:id="1346" w:name="_Toc9118"/>
      <w:bookmarkStart w:id="1347" w:name="_Toc23254"/>
      <w:bookmarkStart w:id="1348" w:name="_Toc6342"/>
      <w:bookmarkStart w:id="1349" w:name="_Toc31219"/>
      <w:bookmarkStart w:id="1350" w:name="_Toc26390"/>
      <w:bookmarkStart w:id="1351" w:name="_Toc20470"/>
      <w:bookmarkStart w:id="1352" w:name="_Toc26979"/>
      <w:bookmarkStart w:id="1353" w:name="_Toc24464"/>
      <w:bookmarkStart w:id="1354" w:name="_Toc26125"/>
      <w:bookmarkStart w:id="1355" w:name="_Toc18222"/>
      <w:bookmarkStart w:id="1356" w:name="_Toc11511"/>
      <w:bookmarkStart w:id="1357" w:name="_Toc7632"/>
      <w:bookmarkStart w:id="1358" w:name="_Toc2556"/>
      <w:bookmarkStart w:id="1359" w:name="_Toc26169"/>
      <w:bookmarkStart w:id="1360" w:name="_Toc20614"/>
      <w:bookmarkStart w:id="1361" w:name="_Toc17782"/>
      <w:bookmarkStart w:id="1362" w:name="_Toc15721"/>
      <w:bookmarkStart w:id="1363" w:name="_Toc11633"/>
      <w:bookmarkStart w:id="1364" w:name="_Toc16375"/>
      <w:bookmarkStart w:id="1365" w:name="_Toc17656"/>
      <w:bookmarkStart w:id="1366" w:name="_Toc138"/>
      <w:bookmarkStart w:id="1367" w:name="_Toc3777"/>
      <w:bookmarkStart w:id="1368" w:name="_Toc25093"/>
      <w:bookmarkStart w:id="1369" w:name="_Toc17479"/>
      <w:bookmarkStart w:id="1370" w:name="_Toc28236"/>
      <w:bookmarkStart w:id="1371" w:name="_Toc21683"/>
      <w:bookmarkStart w:id="1372" w:name="_Toc22418"/>
      <w:bookmarkStart w:id="1373" w:name="_Toc28839"/>
      <w:bookmarkStart w:id="1374" w:name="_Toc3591"/>
      <w:bookmarkStart w:id="1375" w:name="_Toc1206"/>
      <w:bookmarkStart w:id="1376" w:name="_Toc24330"/>
      <w:bookmarkStart w:id="1377" w:name="_Toc22568"/>
      <w:bookmarkStart w:id="1378" w:name="_Toc3438"/>
      <w:bookmarkStart w:id="1379" w:name="_Toc25371"/>
      <w:bookmarkStart w:id="1380" w:name="_Toc5648"/>
      <w:bookmarkStart w:id="1381" w:name="_Toc15904"/>
      <w:bookmarkStart w:id="1382" w:name="_Toc2226"/>
      <w:bookmarkStart w:id="1383" w:name="_Toc32603"/>
      <w:bookmarkStart w:id="1384" w:name="_Toc23917"/>
      <w:bookmarkStart w:id="1385" w:name="_Toc26016"/>
      <w:bookmarkStart w:id="1386" w:name="_Toc8186"/>
      <w:bookmarkStart w:id="1387" w:name="_Toc30040"/>
      <w:bookmarkStart w:id="1388" w:name="_Toc23674"/>
      <w:bookmarkStart w:id="1389" w:name="_Toc29960"/>
      <w:r>
        <w:rPr>
          <w:rFonts w:hint="eastAsia" w:ascii="黑体" w:hAnsi="黑体" w:eastAsia="黑体" w:cs="黑体"/>
          <w:b w:val="0"/>
          <w:bCs w:val="0"/>
          <w:color w:val="auto"/>
          <w:sz w:val="32"/>
          <w:szCs w:val="32"/>
          <w:highlight w:val="none"/>
          <w:lang w:val="en-US" w:eastAsia="zh-CN"/>
        </w:rPr>
        <w:t>九、</w:t>
      </w:r>
      <w:r>
        <w:rPr>
          <w:rFonts w:hint="eastAsia" w:ascii="黑体" w:hAnsi="黑体" w:eastAsia="黑体" w:cs="黑体"/>
          <w:b w:val="0"/>
          <w:bCs w:val="0"/>
          <w:color w:val="auto"/>
          <w:sz w:val="32"/>
          <w:szCs w:val="32"/>
          <w:highlight w:val="none"/>
        </w:rPr>
        <w:t>组织实施</w:t>
      </w:r>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p>
    <w:p w14:paraId="0F62ECB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坚持把党的领导贯彻到医疗保障工作全过程各方面，牢固树立和践行正确政绩观。纵深推进全面从严治党，持之以恒正风肃纪反腐。加强部门协同，统筹协调、整体推进，抓好重点任务落实落地。开展规划实施情况的动态监测、中期评估和总结评估，根据实际情况研究优化任务举措，提升实施效能。加强宣传引导，聚焦群众关注的重点领域，解读惠民政策，讲好医保故事，积极主动回应社会关切。重大事项按程序及时向省委、省政府请示报告。</w:t>
      </w:r>
    </w:p>
    <w:p w14:paraId="18F041A1">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color w:val="auto"/>
          <w:sz w:val="32"/>
          <w:szCs w:val="32"/>
          <w:highlight w:val="none"/>
          <w:lang w:val="en-US" w:eastAsia="zh-CN"/>
        </w:rPr>
      </w:pPr>
    </w:p>
    <w:p w14:paraId="5A2144E9">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color w:val="auto"/>
          <w:sz w:val="32"/>
          <w:szCs w:val="32"/>
          <w:highlight w:val="none"/>
          <w:lang w:val="en-US" w:eastAsia="zh-CN"/>
        </w:rPr>
      </w:pPr>
    </w:p>
    <w:p w14:paraId="61CF8B74">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color w:val="auto"/>
          <w:sz w:val="32"/>
          <w:szCs w:val="32"/>
          <w:highlight w:val="none"/>
          <w:lang w:val="en-US" w:eastAsia="zh-CN"/>
        </w:rPr>
      </w:pPr>
    </w:p>
    <w:p w14:paraId="05B017A0">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color w:val="auto"/>
          <w:sz w:val="32"/>
          <w:szCs w:val="32"/>
          <w:highlight w:val="none"/>
          <w:lang w:val="en-US" w:eastAsia="zh-CN"/>
        </w:rPr>
      </w:pPr>
    </w:p>
    <w:p w14:paraId="17570F91">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color w:val="auto"/>
          <w:sz w:val="32"/>
          <w:szCs w:val="32"/>
          <w:highlight w:val="none"/>
          <w:lang w:val="en-US" w:eastAsia="zh-CN"/>
        </w:rPr>
      </w:pPr>
    </w:p>
    <w:p w14:paraId="183E97CC">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color w:val="auto"/>
          <w:sz w:val="32"/>
          <w:szCs w:val="32"/>
          <w:highlight w:val="none"/>
          <w:lang w:val="en-US" w:eastAsia="zh-CN"/>
        </w:rPr>
      </w:pPr>
    </w:p>
    <w:p w14:paraId="2900191E">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color w:val="auto"/>
          <w:sz w:val="32"/>
          <w:szCs w:val="32"/>
          <w:highlight w:val="none"/>
          <w:lang w:val="en-US" w:eastAsia="zh-CN"/>
        </w:rPr>
      </w:pPr>
    </w:p>
    <w:p w14:paraId="3F2CE0A8">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color w:val="auto"/>
          <w:sz w:val="32"/>
          <w:szCs w:val="32"/>
          <w:highlight w:val="none"/>
          <w:lang w:val="en-US" w:eastAsia="zh-CN"/>
        </w:rPr>
      </w:pPr>
    </w:p>
    <w:p w14:paraId="285F89C8">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方正小标宋简体" w:hAnsi="方正小标宋简体" w:eastAsia="方正小标宋简体" w:cs="方正小标宋简体"/>
          <w:color w:val="auto"/>
          <w:sz w:val="44"/>
          <w:szCs w:val="44"/>
          <w:highlight w:val="none"/>
          <w:lang w:val="en-US" w:eastAsia="zh-CN"/>
        </w:rPr>
      </w:pPr>
    </w:p>
    <w:sectPr>
      <w:footerReference r:id="rId5" w:type="default"/>
      <w:pgSz w:w="11906" w:h="16838"/>
      <w:pgMar w:top="2098" w:right="1474" w:bottom="1984" w:left="1587" w:header="851" w:footer="992" w:gutter="0"/>
      <w:pgNumType w:fmt="numberInDash"/>
      <w:cols w:space="425"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筝筝日上" w:date="2026-08-12T11:06:00Z" w:initials="">
    <w:p w14:paraId="7F7B135C">
      <w:pPr>
        <w:pStyle w:val="8"/>
        <w:rPr>
          <w:rFonts w:hint="default" w:eastAsia="宋体"/>
          <w:lang w:val="en-US" w:eastAsia="zh-CN"/>
        </w:rPr>
      </w:pPr>
      <w:r>
        <w:rPr>
          <w:rFonts w:hint="eastAsia"/>
          <w:lang w:val="en-US" w:eastAsia="zh-CN"/>
        </w:rPr>
        <w:t>单独调取待遇数据</w:t>
      </w:r>
    </w:p>
  </w:comment>
  <w:comment w:id="1" w:author="zyx" w:date="2026-08-12T09:24:00Z" w:initials="">
    <w:p w14:paraId="7CFCB85C">
      <w:pPr>
        <w:pStyle w:val="8"/>
        <w:rPr>
          <w:rFonts w:hint="default" w:eastAsia="宋体"/>
          <w:lang w:val="en-US" w:eastAsia="zh-CN"/>
        </w:rPr>
      </w:pPr>
      <w:r>
        <w:rPr>
          <w:rFonts w:hint="eastAsia"/>
          <w:lang w:val="en-US" w:eastAsia="zh-CN"/>
        </w:rPr>
        <w:t>充实内容</w:t>
      </w:r>
    </w:p>
  </w:comment>
  <w:comment w:id="2" w:author="筝筝日上" w:date="2026-08-12T21:16:00Z" w:initials="">
    <w:p w14:paraId="59F12191">
      <w:pPr>
        <w:pStyle w:val="8"/>
        <w:rPr>
          <w:rFonts w:hint="default" w:eastAsia="宋体"/>
          <w:lang w:val="en-US" w:eastAsia="zh-CN"/>
        </w:rPr>
      </w:pPr>
      <w:r>
        <w:rPr>
          <w:rFonts w:hint="eastAsia"/>
          <w:lang w:val="en-US" w:eastAsia="zh-CN"/>
        </w:rPr>
        <w:t>相关业务处室已修改。</w:t>
      </w:r>
    </w:p>
  </w:comment>
  <w:comment w:id="3" w:author="zyx" w:date="2026-08-12T09:49:00Z" w:initials="">
    <w:p w14:paraId="4A20D53D">
      <w:pPr>
        <w:pStyle w:val="8"/>
        <w:rPr>
          <w:rFonts w:hint="default" w:eastAsia="宋体"/>
          <w:lang w:val="en-US" w:eastAsia="zh-CN"/>
        </w:rPr>
      </w:pPr>
      <w:r>
        <w:rPr>
          <w:rFonts w:hint="eastAsia"/>
          <w:lang w:val="en-US" w:eastAsia="zh-CN"/>
        </w:rPr>
        <w:t>增加公立医疗机构，补充支持分级诊疗要件内容</w:t>
      </w:r>
    </w:p>
  </w:comment>
  <w:comment w:id="4" w:author="筝筝日上" w:date="2026-08-12T21:41:00Z" w:initials="">
    <w:p w14:paraId="1D796170">
      <w:pPr>
        <w:pStyle w:val="8"/>
        <w:rPr>
          <w:rFonts w:hint="default" w:eastAsia="宋体"/>
          <w:lang w:val="en-US" w:eastAsia="zh-CN"/>
        </w:rPr>
      </w:pPr>
      <w:r>
        <w:rPr>
          <w:rFonts w:hint="eastAsia"/>
          <w:lang w:val="en-US" w:eastAsia="zh-CN"/>
        </w:rPr>
        <w:t>涂绿色为修改内容，供参考。</w:t>
      </w:r>
    </w:p>
  </w:comment>
  <w:comment w:id="5" w:author="zyx" w:date="2026-08-12T10:35:00Z" w:initials="">
    <w:p w14:paraId="53C0E4B8">
      <w:pPr>
        <w:pStyle w:val="8"/>
        <w:rPr>
          <w:rFonts w:hint="default" w:eastAsia="宋体"/>
          <w:lang w:val="en-US" w:eastAsia="zh-CN"/>
        </w:rPr>
      </w:pPr>
      <w:r>
        <w:rPr>
          <w:rFonts w:hint="eastAsia"/>
          <w:lang w:val="en-US" w:eastAsia="zh-CN"/>
        </w:rPr>
        <w:t>从专项行动中找相关内容</w:t>
      </w:r>
    </w:p>
  </w:comment>
  <w:comment w:id="6" w:author="筝筝日上" w:date="2026-08-12T21:40:00Z" w:initials="">
    <w:p w14:paraId="38923BC0">
      <w:pPr>
        <w:pStyle w:val="8"/>
        <w:rPr>
          <w:rFonts w:hint="default"/>
          <w:lang w:val="en-US" w:eastAsia="zh-CN"/>
        </w:rPr>
      </w:pPr>
      <w:r>
        <w:rPr>
          <w:rFonts w:hint="eastAsia"/>
          <w:lang w:val="en-US" w:eastAsia="zh-CN"/>
        </w:rPr>
        <w:t>相关业务科室已经修改。删除前文“多元复合支付体系”中关于中医支付内容。</w:t>
      </w:r>
    </w:p>
    <w:p w14:paraId="191ED2A5">
      <w:pPr>
        <w:pStyle w:val="8"/>
        <w:rPr>
          <w:rFonts w:hint="default" w:eastAsia="宋体"/>
          <w:lang w:val="en-US" w:eastAsia="zh-CN"/>
        </w:rPr>
      </w:pPr>
    </w:p>
  </w:comment>
  <w:comment w:id="7" w:author="zyx" w:date="2026-08-12T09:13:00Z" w:initials="">
    <w:p w14:paraId="148C0E0E">
      <w:pPr>
        <w:pStyle w:val="8"/>
        <w:rPr>
          <w:rFonts w:hint="default" w:eastAsia="宋体"/>
          <w:lang w:val="en-US" w:eastAsia="zh-CN"/>
        </w:rPr>
      </w:pPr>
      <w:r>
        <w:rPr>
          <w:rFonts w:hint="eastAsia"/>
          <w:lang w:val="en-US" w:eastAsia="zh-CN"/>
        </w:rPr>
        <w:t>增加1个专栏</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7F7B135C" w15:done="0"/>
  <w15:commentEx w15:paraId="7CFCB85C" w15:done="0"/>
  <w15:commentEx w15:paraId="59F12191" w15:done="0"/>
  <w15:commentEx w15:paraId="4A20D53D" w15:done="0"/>
  <w15:commentEx w15:paraId="1D796170" w15:done="0"/>
  <w15:commentEx w15:paraId="53C0E4B8" w15:done="0"/>
  <w15:commentEx w15:paraId="191ED2A5" w15:done="0"/>
  <w15:commentEx w15:paraId="148C0E0E"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046B4AC-528D-420F-A721-66D3B0F434D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AB6BF025-B503-45E6-9C45-480A34F442AE}"/>
  </w:font>
  <w:font w:name="仿宋_GB2312">
    <w:panose1 w:val="02010609030101010101"/>
    <w:charset w:val="86"/>
    <w:family w:val="auto"/>
    <w:pitch w:val="default"/>
    <w:sig w:usb0="00000001" w:usb1="080E0000" w:usb2="00000000" w:usb3="00000000" w:csb0="00040000" w:csb1="00000000"/>
    <w:embedRegular r:id="rId3" w:fontKey="{F7BBBDF9-0E92-4CED-9CB2-1FFE4CDFACE0}"/>
  </w:font>
  <w:font w:name="等线">
    <w:panose1 w:val="02010600030101010101"/>
    <w:charset w:val="86"/>
    <w:family w:val="auto"/>
    <w:pitch w:val="default"/>
    <w:sig w:usb0="A00002BF" w:usb1="38CF7CFA" w:usb2="00000016" w:usb3="00000000" w:csb0="0004000F" w:csb1="00000000"/>
  </w:font>
  <w:font w:name="华文细黑">
    <w:panose1 w:val="02010600040101010101"/>
    <w:charset w:val="86"/>
    <w:family w:val="auto"/>
    <w:pitch w:val="default"/>
    <w:sig w:usb0="00000287" w:usb1="080F0000" w:usb2="00000000" w:usb3="00000000" w:csb0="0004009F" w:csb1="DFD70000"/>
  </w:font>
  <w:font w:name="方正小标宋_GBK">
    <w:panose1 w:val="02000000000000000000"/>
    <w:charset w:val="86"/>
    <w:family w:val="auto"/>
    <w:pitch w:val="default"/>
    <w:sig w:usb0="A00002BF" w:usb1="38CF7CFA" w:usb2="00082016" w:usb3="00000000" w:csb0="00040001" w:csb1="00000000"/>
    <w:embedRegular r:id="rId4" w:fontKey="{C75B6EA9-8178-43D1-95A2-8CD74C334D9B}"/>
  </w:font>
  <w:font w:name="E-F1">
    <w:altName w:val="FFont-Family"/>
    <w:panose1 w:val="00000000000000000000"/>
    <w:charset w:val="00"/>
    <w:family w:val="auto"/>
    <w:pitch w:val="default"/>
    <w:sig w:usb0="00000000" w:usb1="00000000" w:usb2="00000000" w:usb3="00000000" w:csb0="00000000" w:csb1="00000000"/>
    <w:embedRegular r:id="rId5" w:fontKey="{37A2A1BB-10BD-46F9-91D6-A482D2A86108}"/>
  </w:font>
  <w:font w:name="FFont-Family">
    <w:panose1 w:val="02000509000000000000"/>
    <w:charset w:val="00"/>
    <w:family w:val="auto"/>
    <w:pitch w:val="default"/>
    <w:sig w:usb0="00000001" w:usb1="00000000" w:usb2="00000000" w:usb3="00000000" w:csb0="00000001" w:csb1="00000000"/>
  </w:font>
  <w:font w:name="方正小标宋简体">
    <w:panose1 w:val="03000509000000000000"/>
    <w:charset w:val="86"/>
    <w:family w:val="auto"/>
    <w:pitch w:val="default"/>
    <w:sig w:usb0="00000001" w:usb1="080E0000" w:usb2="00000000" w:usb3="00000000" w:csb0="00040000" w:csb1="00000000"/>
    <w:embedRegular r:id="rId6" w:fontKey="{3A24FF54-A9EE-4DFC-97FE-43E815EF4DCA}"/>
  </w:font>
  <w:font w:name="微软雅黑">
    <w:panose1 w:val="020B0503020204020204"/>
    <w:charset w:val="86"/>
    <w:family w:val="auto"/>
    <w:pitch w:val="default"/>
    <w:sig w:usb0="80000287" w:usb1="2ACF3C50" w:usb2="00000016" w:usb3="00000000" w:csb0="0004001F" w:csb1="00000000"/>
    <w:embedRegular r:id="rId7" w:fontKey="{277207E8-76FF-43BC-B842-AD0DFC2E0652}"/>
  </w:font>
  <w:font w:name="楷体_GB2312">
    <w:panose1 w:val="02010609030101010101"/>
    <w:charset w:val="86"/>
    <w:family w:val="auto"/>
    <w:pitch w:val="default"/>
    <w:sig w:usb0="00000001" w:usb1="080E0000" w:usb2="00000000" w:usb3="00000000" w:csb0="00040000" w:csb1="00000000"/>
    <w:embedRegular r:id="rId8" w:fontKey="{D38A34BE-E614-4075-A021-F32CE7B2CBD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C4E667">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83794A">
                          <w:pPr>
                            <w:pStyle w:val="2"/>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383794A">
                    <w:pPr>
                      <w:pStyle w:val="2"/>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v:textbox>
            </v:shape>
          </w:pict>
        </mc:Fallback>
      </mc:AlternateContent>
    </w:r>
  </w:p>
</w:ft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筝筝日上">
    <w15:presenceInfo w15:providerId="None" w15:userId="筝筝日上"/>
  </w15:person>
  <w15:person w15:author="zyx">
    <w15:presenceInfo w15:providerId="None" w15:userId="zyx"/>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0"/>
  <w:bordersDoNotSurroundFooter w:val="0"/>
  <w:revisionView w:markup="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7B7436"/>
    <w:rsid w:val="041F4451"/>
    <w:rsid w:val="07624D8E"/>
    <w:rsid w:val="09644C54"/>
    <w:rsid w:val="0BD7795F"/>
    <w:rsid w:val="0D8F7523"/>
    <w:rsid w:val="10C97F8B"/>
    <w:rsid w:val="12045226"/>
    <w:rsid w:val="12415B32"/>
    <w:rsid w:val="126F08F1"/>
    <w:rsid w:val="13D80F86"/>
    <w:rsid w:val="14E82BDD"/>
    <w:rsid w:val="1910625E"/>
    <w:rsid w:val="19140AFB"/>
    <w:rsid w:val="1BE35EAC"/>
    <w:rsid w:val="1C730FDE"/>
    <w:rsid w:val="1CC57360"/>
    <w:rsid w:val="1EB1403F"/>
    <w:rsid w:val="1F786815"/>
    <w:rsid w:val="22715FC0"/>
    <w:rsid w:val="22F8048F"/>
    <w:rsid w:val="24613E12"/>
    <w:rsid w:val="289B3D96"/>
    <w:rsid w:val="29345880"/>
    <w:rsid w:val="2976035F"/>
    <w:rsid w:val="29C25209"/>
    <w:rsid w:val="2C9F0208"/>
    <w:rsid w:val="2E6017EF"/>
    <w:rsid w:val="2E732D46"/>
    <w:rsid w:val="30E81B43"/>
    <w:rsid w:val="33B141A9"/>
    <w:rsid w:val="34180991"/>
    <w:rsid w:val="34E22446"/>
    <w:rsid w:val="3A654204"/>
    <w:rsid w:val="4227471A"/>
    <w:rsid w:val="4499642C"/>
    <w:rsid w:val="493E742E"/>
    <w:rsid w:val="4E0D453F"/>
    <w:rsid w:val="4E324A94"/>
    <w:rsid w:val="4E795E22"/>
    <w:rsid w:val="506A211C"/>
    <w:rsid w:val="50B9275C"/>
    <w:rsid w:val="51EE28D9"/>
    <w:rsid w:val="522B762E"/>
    <w:rsid w:val="52522E68"/>
    <w:rsid w:val="534F5434"/>
    <w:rsid w:val="54C6107A"/>
    <w:rsid w:val="58975328"/>
    <w:rsid w:val="58B145EB"/>
    <w:rsid w:val="59267244"/>
    <w:rsid w:val="59DE1485"/>
    <w:rsid w:val="5B24736C"/>
    <w:rsid w:val="5B4377F2"/>
    <w:rsid w:val="5C007491"/>
    <w:rsid w:val="5F2D7E51"/>
    <w:rsid w:val="5F4E6765"/>
    <w:rsid w:val="60AC2ECA"/>
    <w:rsid w:val="64522FA1"/>
    <w:rsid w:val="64FB2EEB"/>
    <w:rsid w:val="6A2355FD"/>
    <w:rsid w:val="6AD2649C"/>
    <w:rsid w:val="6CC8224D"/>
    <w:rsid w:val="6D752025"/>
    <w:rsid w:val="6DA34120"/>
    <w:rsid w:val="6E056B89"/>
    <w:rsid w:val="71500A63"/>
    <w:rsid w:val="737722D7"/>
    <w:rsid w:val="73852C46"/>
    <w:rsid w:val="73DD0236"/>
    <w:rsid w:val="741B2C62"/>
    <w:rsid w:val="761D53B8"/>
    <w:rsid w:val="76E15A38"/>
    <w:rsid w:val="7A8C48BA"/>
    <w:rsid w:val="7DFC062B"/>
    <w:rsid w:val="7E046E5D"/>
    <w:rsid w:val="7EB31B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qFormat="1"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5">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17">
    <w:name w:val="Default Paragraph Font"/>
    <w:semiHidden/>
    <w:qFormat/>
    <w:uiPriority w:val="0"/>
  </w:style>
  <w:style w:type="table" w:default="1" w:styleId="15">
    <w:name w:val="Normal Table"/>
    <w:semiHidden/>
    <w:qFormat/>
    <w:uiPriority w:val="0"/>
    <w:tblPr>
      <w:tblCellMar>
        <w:top w:w="0" w:type="dxa"/>
        <w:left w:w="108" w:type="dxa"/>
        <w:bottom w:w="0" w:type="dxa"/>
        <w:right w:w="108" w:type="dxa"/>
      </w:tblCellMar>
    </w:tblPr>
  </w:style>
  <w:style w:type="paragraph" w:styleId="2">
    <w:name w:val="footer"/>
    <w:basedOn w:val="1"/>
    <w:next w:val="3"/>
    <w:qFormat/>
    <w:uiPriority w:val="0"/>
    <w:pPr>
      <w:tabs>
        <w:tab w:val="center" w:pos="4153"/>
        <w:tab w:val="right" w:pos="8306"/>
      </w:tabs>
      <w:snapToGrid w:val="0"/>
      <w:jc w:val="left"/>
    </w:pPr>
    <w:rPr>
      <w:sz w:val="18"/>
    </w:rPr>
  </w:style>
  <w:style w:type="paragraph" w:styleId="3">
    <w:name w:val="index 5"/>
    <w:basedOn w:val="1"/>
    <w:next w:val="1"/>
    <w:qFormat/>
    <w:uiPriority w:val="0"/>
    <w:pPr>
      <w:widowControl w:val="0"/>
      <w:ind w:left="1680"/>
      <w:jc w:val="both"/>
    </w:pPr>
    <w:rPr>
      <w:rFonts w:ascii="Calibri" w:hAnsi="Calibri" w:eastAsia="宋体" w:cs="Times New Roman"/>
      <w:kern w:val="2"/>
      <w:sz w:val="21"/>
      <w:szCs w:val="22"/>
      <w:lang w:val="en-US" w:eastAsia="zh-CN" w:bidi="ar-SA"/>
    </w:rPr>
  </w:style>
  <w:style w:type="paragraph" w:styleId="6">
    <w:name w:val="Normal Indent"/>
    <w:basedOn w:val="1"/>
    <w:qFormat/>
    <w:uiPriority w:val="0"/>
    <w:pPr>
      <w:keepNext w:val="0"/>
      <w:keepLines w:val="0"/>
      <w:widowControl w:val="0"/>
      <w:suppressLineNumbers w:val="0"/>
      <w:spacing w:before="0" w:beforeAutospacing="0" w:after="0" w:afterAutospacing="0"/>
      <w:ind w:left="0" w:right="0" w:firstLine="420" w:firstLineChars="200"/>
      <w:jc w:val="both"/>
    </w:pPr>
    <w:rPr>
      <w:rFonts w:hint="default" w:ascii="Calibri" w:hAnsi="Calibri" w:eastAsia="宋体" w:cs="Times New Roman"/>
      <w:kern w:val="2"/>
      <w:sz w:val="21"/>
      <w:szCs w:val="21"/>
      <w:lang w:val="en-US" w:eastAsia="zh-CN" w:bidi="ar"/>
    </w:rPr>
  </w:style>
  <w:style w:type="paragraph" w:styleId="7">
    <w:name w:val="toa heading"/>
    <w:basedOn w:val="1"/>
    <w:next w:val="1"/>
    <w:qFormat/>
    <w:uiPriority w:val="0"/>
    <w:pPr>
      <w:spacing w:before="120" w:beforeLines="0" w:beforeAutospacing="0"/>
    </w:pPr>
    <w:rPr>
      <w:rFonts w:ascii="Arial" w:hAnsi="Arial" w:eastAsia="仿宋_GB2312" w:cstheme="minorBidi"/>
      <w:sz w:val="32"/>
      <w:szCs w:val="24"/>
    </w:rPr>
  </w:style>
  <w:style w:type="paragraph" w:styleId="8">
    <w:name w:val="annotation text"/>
    <w:basedOn w:val="1"/>
    <w:qFormat/>
    <w:uiPriority w:val="0"/>
    <w:pPr>
      <w:jc w:val="left"/>
    </w:pPr>
  </w:style>
  <w:style w:type="paragraph" w:styleId="9">
    <w:name w:val="Body Text"/>
    <w:basedOn w:val="1"/>
    <w:unhideWhenUsed/>
    <w:qFormat/>
    <w:uiPriority w:val="99"/>
    <w:pPr>
      <w:spacing w:after="120"/>
    </w:pPr>
  </w:style>
  <w:style w:type="paragraph" w:styleId="10">
    <w:name w:val="Plain Text"/>
    <w:basedOn w:val="1"/>
    <w:next w:val="11"/>
    <w:qFormat/>
    <w:uiPriority w:val="0"/>
    <w:rPr>
      <w:rFonts w:ascii="宋体" w:hAnsi="Courier New" w:eastAsia="宋体" w:cs="Courier New"/>
    </w:rPr>
  </w:style>
  <w:style w:type="paragraph" w:styleId="11">
    <w:name w:val="index 9"/>
    <w:basedOn w:val="1"/>
    <w:next w:val="1"/>
    <w:qFormat/>
    <w:uiPriority w:val="0"/>
    <w:pPr>
      <w:ind w:left="3360"/>
    </w:pPr>
    <w:rPr>
      <w:rFonts w:eastAsia="宋体" w:cs="等线"/>
      <w:szCs w:val="21"/>
    </w:rPr>
  </w:style>
  <w:style w:type="paragraph" w:styleId="1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3">
    <w:name w:val="Body Text 2"/>
    <w:basedOn w:val="1"/>
    <w:qFormat/>
    <w:uiPriority w:val="0"/>
    <w:pPr>
      <w:spacing w:after="120" w:line="480" w:lineRule="auto"/>
    </w:pPr>
    <w:rPr>
      <w:rFonts w:ascii="仿宋_GB2312" w:hAnsi="仿宋_GB2312" w:eastAsia="仿宋_GB2312"/>
      <w:sz w:val="36"/>
    </w:rPr>
  </w:style>
  <w:style w:type="paragraph" w:styleId="14">
    <w:name w:val="Normal (Web)"/>
    <w:basedOn w:val="1"/>
    <w:qFormat/>
    <w:uiPriority w:val="99"/>
    <w:pPr>
      <w:spacing w:before="100" w:beforeAutospacing="1" w:after="100" w:afterAutospacing="1"/>
      <w:ind w:left="0" w:right="0"/>
      <w:jc w:val="left"/>
    </w:pPr>
    <w:rPr>
      <w:kern w:val="0"/>
      <w:sz w:val="24"/>
      <w:lang w:val="en-US" w:eastAsia="zh-CN" w:bidi="ar"/>
    </w:rPr>
  </w:style>
  <w:style w:type="table" w:styleId="16">
    <w:name w:val="Table Grid"/>
    <w:basedOn w:val="15"/>
    <w:qFormat/>
    <w:uiPriority w:val="0"/>
    <w:pPr>
      <w:keepNext w:val="0"/>
      <w:keepLines w:val="0"/>
      <w:widowControl w:val="0"/>
      <w:suppressLineNumbers w:val="0"/>
      <w:spacing w:before="0" w:beforeAutospacing="0" w:after="0" w:afterAutospacing="0"/>
      <w:ind w:left="0" w:right="0"/>
      <w:jc w:val="both"/>
    </w:pPr>
    <w:rPr>
      <w:rFonts w:hint="default" w:ascii="Times New Roman" w:hAnsi="Times New Roman"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8">
    <w:name w:val="marklang-paragraph"/>
    <w:basedOn w:val="1"/>
    <w:qFormat/>
    <w:uiPriority w:val="0"/>
    <w:pPr>
      <w:widowControl/>
      <w:spacing w:before="100" w:beforeAutospacing="1" w:after="100" w:afterAutospacing="1"/>
      <w:jc w:val="left"/>
    </w:pPr>
    <w:rPr>
      <w:rFonts w:ascii="宋体" w:hAnsi="宋体" w:eastAsia="宋体" w:cs="宋体"/>
      <w:kern w:val="0"/>
      <w:sz w:val="24"/>
    </w:rPr>
  </w:style>
  <w:style w:type="character" w:customStyle="1" w:styleId="19">
    <w:name w:val="font51"/>
    <w:basedOn w:val="17"/>
    <w:qFormat/>
    <w:uiPriority w:val="0"/>
    <w:rPr>
      <w:rFonts w:ascii="仿宋_GB2312" w:eastAsia="仿宋_GB2312" w:cs="仿宋_GB2312"/>
      <w:color w:val="000000"/>
      <w:sz w:val="22"/>
      <w:szCs w:val="22"/>
      <w:u w:val="none"/>
    </w:rPr>
  </w:style>
  <w:style w:type="character" w:customStyle="1" w:styleId="20">
    <w:name w:val="font31"/>
    <w:basedOn w:val="17"/>
    <w:qFormat/>
    <w:uiPriority w:val="0"/>
    <w:rPr>
      <w:rFonts w:hint="eastAsia" w:ascii="华文细黑" w:hAnsi="华文细黑" w:eastAsia="华文细黑" w:cs="华文细黑"/>
      <w:color w:val="000000"/>
      <w:sz w:val="22"/>
      <w:szCs w:val="22"/>
      <w:u w:val="none"/>
    </w:rPr>
  </w:style>
</w:styles>
</file>

<file path=word/_rels/document.xml.rels><?xml version="1.0" encoding="UTF-8" standalone="yes"?>
<Relationships xmlns="http://schemas.openxmlformats.org/package/2006/relationships"><Relationship Id="rId9" Type="http://schemas.microsoft.com/office/2011/relationships/people" Target="people.xml"/><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18</Pages>
  <Words>5411</Words>
  <Characters>5471</Characters>
  <Lines>0</Lines>
  <Paragraphs>0</Paragraphs>
  <TotalTime>12</TotalTime>
  <ScaleCrop>false</ScaleCrop>
  <LinksUpToDate>false</LinksUpToDate>
  <CharactersWithSpaces>5488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2026-09-21T07:13:00Z</dcterms:created>
  <dc:creator>Lenovo</dc:creator>
  <cp:lastModifiedBy>晓红</cp:lastModifiedBy>
  <cp:lastPrinted>2026-10-08T02:58:00Z</cp:lastPrinted>
  <dcterms:modified xsi:type="dcterms:W3CDTF">2026-10-15T02:44:32Z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eyJoZGlkIjoiZmUzZGFkMjdmYWE1ZDM2MzczNGYxZTNiM2QyNWUyYmYiLCJ1c2VySWQiOiI1Njg1MDgzMzYifQ==</vt:lpwstr>
  </property>
  <property fmtid="{D5CDD505-2E9C-101B-9397-08002B2CF9AE}" pid="4" name="ICV">
    <vt:lpwstr>CA6D45EA4B6941DEB018D1584CD5DF63_12</vt:lpwstr>
  </property>
</Properties>
</file>