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pacing w:line="600" w:lineRule="exact"/>
        <w:rPr>
          <w:rFonts w:hint="eastAsia" w:ascii="黑体" w:hAnsi="黑体" w:eastAsia="黑体"/>
          <w:sz w:val="32"/>
          <w:szCs w:val="32"/>
        </w:rPr>
      </w:pPr>
      <w:bookmarkStart w:id="0" w:name="OLE_LINK3"/>
      <w:r>
        <w:rPr>
          <w:rFonts w:hint="eastAsia" w:ascii="黑体" w:hAnsi="黑体" w:eastAsia="黑体"/>
          <w:sz w:val="32"/>
          <w:szCs w:val="32"/>
        </w:rPr>
        <w:t>附件</w:t>
      </w:r>
      <w:bookmarkEnd w:id="0"/>
      <w:r>
        <w:rPr>
          <w:rFonts w:hint="eastAsia" w:ascii="黑体" w:hAnsi="黑体" w:eastAsia="黑体"/>
          <w:sz w:val="32"/>
          <w:szCs w:val="32"/>
        </w:rPr>
        <w:t>2</w:t>
      </w:r>
    </w:p>
    <w:p>
      <w:pPr>
        <w:widowControl w:val="0"/>
        <w:wordWrap/>
        <w:adjustRightInd w:val="0"/>
        <w:snapToGrid/>
        <w:spacing w:before="0" w:after="0" w:line="400" w:lineRule="exact"/>
        <w:ind w:left="0" w:leftChars="0" w:right="0" w:firstLine="0" w:firstLineChars="0"/>
        <w:jc w:val="both"/>
        <w:textAlignment w:val="auto"/>
        <w:outlineLvl w:val="9"/>
        <w:rPr>
          <w:rFonts w:hint="eastAsia" w:ascii="黑体" w:hAns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吉林省医院党建工作指导委员会基层党组织---党委等院级党组织</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党建工作“强基提质”</w:t>
      </w:r>
      <w:r>
        <w:rPr>
          <w:rFonts w:hint="eastAsia" w:ascii="方正小标宋简体" w:hAnsi="方正小标宋简体" w:eastAsia="方正小标宋简体" w:cs="方正小标宋简体"/>
          <w:color w:val="000000"/>
          <w:sz w:val="44"/>
          <w:szCs w:val="44"/>
        </w:rPr>
        <w:t>标准化</w:t>
      </w:r>
      <w:r>
        <w:rPr>
          <w:rFonts w:hint="eastAsia" w:ascii="方正小标宋简体" w:hAnsi="方正小标宋简体" w:eastAsia="方正小标宋简体" w:cs="方正小标宋简体"/>
          <w:sz w:val="44"/>
          <w:szCs w:val="44"/>
        </w:rPr>
        <w:t>创建量化表</w:t>
      </w:r>
    </w:p>
    <w:p>
      <w:pPr>
        <w:widowControl w:val="0"/>
        <w:wordWrap/>
        <w:adjustRightInd/>
        <w:snapToGrid/>
        <w:spacing w:before="0" w:after="0" w:line="400" w:lineRule="exact"/>
        <w:ind w:left="0" w:leftChars="0" w:right="0" w:firstLine="0" w:firstLineChars="0"/>
        <w:jc w:val="left"/>
        <w:textAlignment w:val="auto"/>
        <w:outlineLvl w:val="9"/>
        <w:rPr>
          <w:rFonts w:hint="eastAsia" w:ascii="楷体" w:hAnsi="楷体" w:eastAsia="楷体"/>
          <w:sz w:val="30"/>
          <w:szCs w:val="30"/>
        </w:rPr>
      </w:pPr>
    </w:p>
    <w:p>
      <w:pPr>
        <w:spacing w:line="500" w:lineRule="exact"/>
        <w:jc w:val="left"/>
        <w:rPr>
          <w:rFonts w:ascii="楷体" w:hAnsi="楷体" w:eastAsia="楷体"/>
          <w:sz w:val="30"/>
          <w:szCs w:val="30"/>
        </w:rPr>
      </w:pPr>
      <w:r>
        <w:rPr>
          <w:rFonts w:hint="eastAsia" w:ascii="楷体" w:hAnsi="楷体" w:eastAsia="楷体"/>
          <w:sz w:val="30"/>
          <w:szCs w:val="30"/>
        </w:rPr>
        <w:t>申报单位党委名称：               得分：                      申报时间：      年   月  日</w:t>
      </w:r>
    </w:p>
    <w:tbl>
      <w:tblPr>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4"/>
        <w:gridCol w:w="1354"/>
        <w:gridCol w:w="9065"/>
        <w:gridCol w:w="1621"/>
        <w:gridCol w:w="545"/>
        <w:gridCol w:w="545"/>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0" w:hRule="atLeast"/>
          <w:tblHeader/>
          <w:jc w:val="center"/>
        </w:trPr>
        <w:tc>
          <w:tcPr>
            <w:tcW w:w="2298" w:type="dxa"/>
            <w:gridSpan w:val="2"/>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spacing w:val="-20"/>
                <w:kern w:val="0"/>
                <w:sz w:val="20"/>
                <w:szCs w:val="20"/>
              </w:rPr>
            </w:pPr>
            <w:r>
              <w:rPr>
                <w:rFonts w:hint="eastAsia" w:ascii="黑体" w:hAnsi="黑体" w:eastAsia="黑体" w:cs="宋体"/>
                <w:bCs/>
                <w:color w:val="000000"/>
                <w:kern w:val="0"/>
                <w:sz w:val="20"/>
                <w:szCs w:val="20"/>
              </w:rPr>
              <w:t>项目</w:t>
            </w:r>
          </w:p>
        </w:tc>
        <w:tc>
          <w:tcPr>
            <w:tcW w:w="9065"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18"/>
                <w:szCs w:val="18"/>
              </w:rPr>
            </w:pPr>
            <w:r>
              <w:rPr>
                <w:rFonts w:hint="eastAsia" w:ascii="黑体" w:hAnsi="黑体" w:eastAsia="黑体" w:cs="宋体"/>
                <w:bCs/>
                <w:color w:val="000000"/>
                <w:kern w:val="0"/>
                <w:sz w:val="20"/>
                <w:szCs w:val="20"/>
              </w:rPr>
              <w:t>具体标准</w:t>
            </w:r>
          </w:p>
        </w:tc>
        <w:tc>
          <w:tcPr>
            <w:tcW w:w="1621"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spacing w:val="-20"/>
                <w:kern w:val="0"/>
                <w:sz w:val="18"/>
                <w:szCs w:val="18"/>
              </w:rPr>
            </w:pPr>
            <w:r>
              <w:rPr>
                <w:rFonts w:hint="eastAsia" w:ascii="黑体" w:hAnsi="黑体" w:eastAsia="黑体" w:cs="宋体"/>
                <w:bCs/>
                <w:color w:val="000000"/>
                <w:spacing w:val="-20"/>
                <w:kern w:val="0"/>
                <w:sz w:val="18"/>
                <w:szCs w:val="18"/>
              </w:rPr>
              <w:t>落实情况</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黑体" w:hAnsi="黑体" w:eastAsia="黑体" w:cs="宋体"/>
                <w:bCs/>
                <w:color w:val="000000"/>
                <w:spacing w:val="-20"/>
                <w:kern w:val="0"/>
                <w:sz w:val="18"/>
                <w:szCs w:val="18"/>
              </w:rPr>
            </w:pPr>
            <w:r>
              <w:rPr>
                <w:rFonts w:hint="eastAsia" w:ascii="黑体" w:hAnsi="黑体" w:eastAsia="黑体" w:cs="宋体"/>
                <w:bCs/>
                <w:color w:val="000000"/>
                <w:spacing w:val="-20"/>
                <w:kern w:val="0"/>
                <w:sz w:val="18"/>
                <w:szCs w:val="18"/>
              </w:rPr>
              <w:t>自评得分</w:t>
            </w:r>
          </w:p>
        </w:tc>
        <w:tc>
          <w:tcPr>
            <w:tcW w:w="545"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spacing w:val="-20"/>
                <w:kern w:val="0"/>
                <w:sz w:val="18"/>
                <w:szCs w:val="18"/>
              </w:rPr>
            </w:pPr>
            <w:r>
              <w:rPr>
                <w:rFonts w:hint="eastAsia" w:ascii="黑体" w:hAnsi="黑体" w:eastAsia="黑体" w:cs="宋体"/>
                <w:bCs/>
                <w:color w:val="000000"/>
                <w:spacing w:val="-20"/>
                <w:kern w:val="0"/>
                <w:sz w:val="18"/>
                <w:szCs w:val="18"/>
              </w:rPr>
              <w:t>上级验收</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spacing w:val="-20"/>
                <w:kern w:val="0"/>
                <w:sz w:val="18"/>
                <w:szCs w:val="18"/>
              </w:rPr>
            </w:pPr>
            <w:r>
              <w:rPr>
                <w:rFonts w:hint="eastAsia" w:ascii="黑体" w:hAnsi="黑体" w:eastAsia="黑体" w:cs="宋体"/>
                <w:bCs/>
                <w:color w:val="000000"/>
                <w:spacing w:val="-20"/>
                <w:kern w:val="0"/>
                <w:sz w:val="18"/>
                <w:szCs w:val="18"/>
              </w:rPr>
              <w:t>得分</w:t>
            </w:r>
          </w:p>
        </w:tc>
        <w:tc>
          <w:tcPr>
            <w:tcW w:w="546"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spacing w:val="-20"/>
                <w:kern w:val="0"/>
                <w:sz w:val="18"/>
                <w:szCs w:val="18"/>
              </w:rPr>
            </w:pPr>
            <w:r>
              <w:rPr>
                <w:rFonts w:hint="eastAsia" w:ascii="黑体" w:hAnsi="黑体" w:eastAsia="黑体" w:cs="宋体"/>
                <w:bCs/>
                <w:color w:val="000000"/>
                <w:spacing w:val="-20"/>
                <w:kern w:val="0"/>
                <w:sz w:val="18"/>
                <w:szCs w:val="18"/>
              </w:rPr>
              <w:t>主管部门评定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21" w:hRule="atLeast"/>
          <w:jc w:val="center"/>
        </w:trPr>
        <w:tc>
          <w:tcPr>
            <w:tcW w:w="944" w:type="dxa"/>
            <w:vMerge w:val="restart"/>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强化党组织发挥作用（4分）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公立医院的领导体制</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1.落实党委领导下的院长负责制（2分）；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2.二级以上公立医院实行党委书记与院长分设（1分）。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7"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把党建工作要求写入医院章程</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3.落实在公立医院章程中设立党建专章（1分）。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10" w:hRule="atLeast"/>
          <w:jc w:val="center"/>
        </w:trPr>
        <w:tc>
          <w:tcPr>
            <w:tcW w:w="94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健全</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基本</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组织</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（8分）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组织设置</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1.党员人数100人以上的设立党的基层委员会。党员人数不够，因工作需要，需设立党的基层委员会的，报上级党组织批准（1分）；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2.党的基层委员会，一般设委员5—9人，设书记1人，必要时增设副书记1-2人（1分）；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仿宋"/>
                <w:color w:val="000000"/>
                <w:kern w:val="0"/>
              </w:rPr>
            </w:pPr>
            <w:r>
              <w:rPr>
                <w:rFonts w:hint="eastAsia" w:ascii="仿宋" w:hAnsi="仿宋" w:eastAsia="仿宋" w:cs="宋体"/>
                <w:color w:val="000000"/>
                <w:kern w:val="0"/>
              </w:rPr>
              <w:t>3</w:t>
            </w:r>
            <w:r>
              <w:rPr>
                <w:rFonts w:hint="eastAsia" w:ascii="仿宋" w:hAnsi="仿宋" w:eastAsia="仿宋" w:cs="仿宋"/>
                <w:color w:val="000000"/>
                <w:kern w:val="0"/>
              </w:rPr>
              <w:t>.设立党的基层委员会的单位应当设立党的纪律检查委员会，</w:t>
            </w:r>
            <w:r>
              <w:rPr>
                <w:rFonts w:hint="eastAsia" w:ascii="仿宋" w:hAnsi="仿宋" w:eastAsia="仿宋" w:cs="仿宋"/>
                <w:color w:val="000000"/>
              </w:rPr>
              <w:t>设立专职纪委书记。</w:t>
            </w:r>
            <w:r>
              <w:rPr>
                <w:rFonts w:hint="eastAsia" w:ascii="仿宋" w:hAnsi="仿宋" w:eastAsia="仿宋" w:cs="仿宋"/>
                <w:color w:val="000000"/>
                <w:kern w:val="0"/>
              </w:rPr>
              <w:t>（1分）；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仿宋"/>
                <w:color w:val="000000"/>
                <w:kern w:val="0"/>
              </w:rPr>
            </w:pPr>
            <w:r>
              <w:rPr>
                <w:rFonts w:hint="eastAsia" w:ascii="仿宋" w:hAnsi="仿宋" w:eastAsia="仿宋" w:cs="仿宋"/>
                <w:color w:val="000000"/>
                <w:kern w:val="0"/>
              </w:rPr>
              <w:t>4.基层党的纪律检查委员会，一般设委员3—7人，设书记1人，必要时增设副书记1人（1分）；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5.基层党的委员会和纪律检查委员会由党员大会或代表大会选举产生（1分）；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6.基层党的委员会和纪律检查委员会委员在任期内出现空缺，应召开党员大会或党员代表大会补选（1分）；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7.书记、副书记在任期内职务变动，应当事先征得上级党组织的同意（1分）；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8.基层党的委员会加强对所属基层党支部组织设置的指导、管理和监督（1分）。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40" w:hRule="atLeast"/>
          <w:jc w:val="center"/>
        </w:trPr>
        <w:tc>
          <w:tcPr>
            <w:tcW w:w="944" w:type="dxa"/>
            <w:vMerge w:val="restart"/>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建强</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基本</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队伍</w:t>
            </w:r>
          </w:p>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w:t>
            </w:r>
            <w:r>
              <w:rPr>
                <w:rFonts w:hint="eastAsia" w:ascii="黑体" w:hAnsi="黑体" w:eastAsia="黑体" w:cs="宋体"/>
                <w:bCs/>
                <w:kern w:val="0"/>
                <w:sz w:val="20"/>
                <w:szCs w:val="20"/>
              </w:rPr>
              <w:t>31</w:t>
            </w:r>
            <w:r>
              <w:rPr>
                <w:rFonts w:hint="eastAsia" w:ascii="黑体" w:hAnsi="黑体" w:eastAsia="黑体" w:cs="宋体"/>
                <w:bCs/>
                <w:color w:val="000000"/>
                <w:kern w:val="0"/>
                <w:sz w:val="20"/>
                <w:szCs w:val="20"/>
              </w:rPr>
              <w:t>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政治建设</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1.坚持把政治建设摆在首位，用习近平新时代中国特色社会主义思想武装头脑，树牢“四个意识”、增强“四个自信”，做到“两个维护”（1分）；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2.开展忠诚教育和党内政治文化建设，组织党员干部到各类爱国主义教育基地和党性教育基地进行教育和熏陶，传承革命文化，弘扬革命精神（1分）；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3.严守政治纪律和政治规矩，落实谈话、提醒、约谈等制度，对发表不当言论、传播负面或虚假信息等的党员予以惩戒（1分）。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69"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思想建设</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1.开展习近平新时代中国特色社会主义思想学习教育、培训，真正学深悟透、融会贯通、真信笃行（1分）；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2.理论学习中心组每季度不少于1次，全年不少于4次，每次至少有1名中心组成员作重点发言（2分）；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3.深入推进“两学一做”学习教育常态化制度化，引导党员干部学思践悟，争做“四有”合格党员（1分）；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4.持续深化“不忘初心、牢记使命”主题教育，引导党员干部悟初心、守初心、践初心（3分）；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5.推广使用“学习强国”学习平台，加强党员干部理论武装（1分）；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6.落实党管意识形态责任制，加强对党建微信群管理，牢牢掌握意识形态领域线上线下阵地安全（2分）。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82"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作风和纪律建设</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1.坚持领导干部作表率，班子成员每人每年牵头完成1个以上重点调研课题（1分）；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综合运用案件通报、以案说纪、廉洁从政约谈、参观廉政教育基地等形式，加强纪律教育（1分）；3.运用监督执纪“四种形态”，加强对重点岗位和重点人员监督，查找廉政风险点，进行常态化精准监督（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4.党组织领导班子成员未受到党纪政务处理（1分）；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5.落实中央八项规定精神和省委具体规定，深挖细查“四风”问题隐形变异表现，开展“四风”问题整治（2分）。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专业能力建设</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1.制定党务干部培训计划，采取集中轮训、网络培训、个人自学等方式，提升专业能力（1分）；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w:t>
            </w:r>
            <w:r>
              <w:rPr>
                <w:rFonts w:hint="eastAsia" w:ascii="仿宋" w:hAnsi="仿宋" w:eastAsia="仿宋" w:cs="仿宋"/>
                <w:kern w:val="0"/>
              </w:rPr>
              <w:t>每年对</w:t>
            </w:r>
            <w:r>
              <w:rPr>
                <w:rFonts w:hint="eastAsia" w:ascii="仿宋" w:hAnsi="仿宋" w:eastAsia="仿宋" w:cs="仿宋"/>
              </w:rPr>
              <w:t xml:space="preserve">党务干部轮训1遍 </w:t>
            </w:r>
            <w:r>
              <w:rPr>
                <w:rFonts w:hint="eastAsia" w:ascii="仿宋" w:hAnsi="仿宋" w:eastAsia="仿宋" w:cs="仿宋"/>
                <w:kern w:val="0"/>
              </w:rPr>
              <w:t>，每个班</w:t>
            </w:r>
            <w:r>
              <w:rPr>
                <w:rFonts w:hint="eastAsia" w:ascii="仿宋" w:hAnsi="仿宋" w:eastAsia="仿宋" w:cs="宋体"/>
                <w:color w:val="000000"/>
                <w:kern w:val="0"/>
              </w:rPr>
              <w:t>次安排1/3以上时间学习习近平新时代中国特色社会主义思想（1分）；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3.每年按要求选派理论骨干（学习秘书）参加培训（1分）；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4.有计划地组织新任基层党组织负责人参加集中培训（1分）。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kern w:val="0"/>
                <w:sz w:val="20"/>
                <w:szCs w:val="20"/>
              </w:rPr>
            </w:pPr>
            <w:r>
              <w:rPr>
                <w:rFonts w:hint="eastAsia" w:ascii="方正仿宋_GBK" w:hAnsi="宋体" w:eastAsia="方正仿宋_GBK" w:cs="宋体"/>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93"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left"/>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党员教育管理监督和发展</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1.制定党员干部教育培训计划，党员每年集中学习培训时间一般不少于32学时，其中基层党组织书记和班子成员一般不少于56学时（1分）；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2.党委等院级党组织每年至少1次通过党内文件、党务公开栏、工作内网等形式，分别向所属党组织和党员公示党费收支情况，并报上级党组织备案（1分）；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3.党委等院级党组织每年12月底前对党员组织关系进行1次集中排查，党员组织关系隶属清楚（1分）；4.动态建立困难党员台账，经常开展关怀帮扶活动，定期走访慰问生活困难党员和老党员（1分）；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5.党委等院级党组织结合年终总结和民主评议党员，每年开展1次先进基层党组织和优秀共产党员评选表彰活动（1分）；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6.党委等院级党组织专职副书记（党办主任）列席党员领导干部民主生活会以及本单位行政负责人召开的有关会议等制度落实到位（1分）；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7.每年至少召开1次党员大会，听取本单位主要负责人通报工作情况（1分）；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8.坚持发展党员政治标准，做到计划科学、程序规范、保证质量（1分）。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jc w:val="center"/>
        </w:trPr>
        <w:tc>
          <w:tcPr>
            <w:tcW w:w="944" w:type="dxa"/>
            <w:vMerge w:val="restart"/>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落实</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基本</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制度</w:t>
            </w:r>
            <w:r>
              <w:rPr>
                <w:rFonts w:hint="eastAsia" w:ascii="黑体" w:hAnsi="黑体" w:eastAsia="黑体" w:cs="宋体"/>
                <w:bCs/>
                <w:color w:val="000000"/>
                <w:kern w:val="0"/>
                <w:sz w:val="20"/>
                <w:szCs w:val="20"/>
              </w:rPr>
              <w:br/>
            </w:r>
            <w:r>
              <w:rPr>
                <w:rFonts w:hint="eastAsia" w:ascii="黑体" w:hAnsi="黑体" w:eastAsia="黑体" w:cs="宋体"/>
                <w:bCs/>
                <w:color w:val="000000"/>
                <w:kern w:val="0"/>
                <w:sz w:val="20"/>
                <w:szCs w:val="20"/>
              </w:rPr>
              <w:t>（18分）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“三会一课”</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1.领导干部以普通党员身份参加所在党支部或党小组的组织生活（1分）；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2.坚持党员领导干部讲党课制度，党委书记每年至少为基层党员讲1次党课（1分）；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3.党委等院级党组织要加强指导督促检查，对执行“三会一课”制度不经常、不规范的，批评教育、限期整改（1分）。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75"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组织生活会</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1.党委等院级党组织根据上级党组织要求，结合本单位不同群体党员特点，明确组织生活会具体内容、要求，制定可行方案（1分）；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2.指导基层党支部抓好会前学习，谈心谈话，听取意见；会上查摆问题，开展批评和自我批评，明确整改方向；会后制定整改措施，逐一整改落实等环节；（1分）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健全落实党委等院级党组织成员参会指导基层党支部组织生活会制度，发现问题及时纠正（1分）；4.建立组织生活会通报制度，对开得好的组织生活会，进行表扬和总结，对不符合要求的责令重开、限期整改，情节严重的追究有关负责人责任（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8"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民主评议党员</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1.指导所属基层党支部每年开展1次民主评议党员，做到程序规范、评议科学、党员认可（1分）；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2.健全落实党委等院级党组织成员参会指导基层党支部民主评议党员工作，发现问题及时纠正（1分）；3.做到民主评议结果与年度考核、评先选优、“新时代e支部”党员积分制管理有机结合（1分）。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8"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谈心谈话</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1.党委等院级党组织委员之间每年谈心谈话一般不少于1次（1分）；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2.单位党员因工作变动、家庭变故、提职晋升等情况有思想波动，基层党委（总支）负责人要与其谈心谈话（1分）。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主题党日</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1.每年“七一”、国庆等重大节日，党委等院级党组织应集中开展主题党日（1分）；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2.党员领导干部要以普通党员身份带头参加所在党支部主题党日活动（1分）。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50"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党委换届</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1.基层党组织任期届满要按期进行换届选举，未经上级党组织批准，不得延期或提前换届。如需延期或提前进行换届选举，应报上级党组织批准（1分）；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2.党委等院级党组织每年1月份对所属基层党组织换届情况进行梳理，建立基层党组织换届工作台账（1分）；</w:t>
            </w:r>
          </w:p>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仿宋" w:hAnsi="仿宋" w:eastAsia="仿宋" w:cs="宋体"/>
                <w:color w:val="000000"/>
                <w:kern w:val="0"/>
              </w:rPr>
              <w:t>3.党委等院级党组织要建立换届提醒制度，对任期将满的基层党组织，一般应提前6个月以书面发函通知等形式，提醒做好换届工作。基层党组织任期届满前，要提前4个月书面报送换届请示（1分）。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0" w:hRule="atLeast"/>
          <w:jc w:val="center"/>
        </w:trPr>
        <w:tc>
          <w:tcPr>
            <w:tcW w:w="944" w:type="dxa"/>
            <w:vMerge w:val="restart"/>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完善</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基本</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保障</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（11分）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人员保障</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1.单位应按照从严治党实际需要，切实配足配强专职党务工作人员。党建任务较重、工作力量不足的，应在现有基础上增加人员（2分）；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2.建立健全岗位交流制度，有组织、有计划地安排公立医院党务工作人员与行政、业务工作人员之间的双向交流（1分）。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3"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阵地保障</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1.党委等院级党组织应建立标准化党员活动室，有条件的单位可建立党建工作档案室（1分）；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在医院门诊大厅等人员密集场所设立党建宣传栏、党建文化墙、党员先锋岗、示范岗等，营造浓厚党建氛围。有条件的单位要在门户网站、内部局域网等开辟党建专栏，建立党建微信群，加强网络阵地建设（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8" w:hRule="atLeast"/>
          <w:jc w:val="center"/>
        </w:trPr>
        <w:tc>
          <w:tcPr>
            <w:tcW w:w="944" w:type="dxa"/>
            <w:vMerge w:val="continue"/>
            <w:vAlign w:val="center"/>
          </w:tcPr>
          <w:p>
            <w:pPr>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经费保障</w:t>
            </w:r>
          </w:p>
        </w:tc>
        <w:tc>
          <w:tcPr>
            <w:tcW w:w="9065" w:type="dxa"/>
            <w:vAlign w:val="center"/>
          </w:tcPr>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1.党组织活动经费每名党员每年按一定标准列入单位行政经费预算，确保党建工作需要（1分）；</w:t>
            </w:r>
          </w:p>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2.党组织活动经费使用，要严格遵守财务制度，遵守中央八项规定等要求（1分）。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27"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台账管理</w:t>
            </w:r>
          </w:p>
        </w:tc>
        <w:tc>
          <w:tcPr>
            <w:tcW w:w="9065" w:type="dxa"/>
            <w:vAlign w:val="center"/>
          </w:tcPr>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1.建立党组织生活纪实制度，将“三会一课”、民主生活会、组织生活会、民主评议党员等制度作为纪实内容，做到记录完整规范（2分）；</w:t>
            </w:r>
          </w:p>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2.健全党支部每月自查、上级党组织每季度抽查机制，作为考核评价党支部工作的依据之一（1分）。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19" w:hRule="atLeast"/>
          <w:jc w:val="center"/>
        </w:trPr>
        <w:tc>
          <w:tcPr>
            <w:tcW w:w="2298" w:type="dxa"/>
            <w:gridSpan w:val="2"/>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加强智慧党建</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（5分）</w:t>
            </w:r>
          </w:p>
        </w:tc>
        <w:tc>
          <w:tcPr>
            <w:tcW w:w="9065" w:type="dxa"/>
            <w:vAlign w:val="center"/>
          </w:tcPr>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1.依托“新时代e支部”开展党员积分制管理和支部标准化规范化创星，确保单位党组织和在职党员入驻全覆盖（1分）；</w:t>
            </w:r>
          </w:p>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2.依托“新时代e支部”记录党员参加党内生活、开展志愿服务活动等情况,实现党支部工作规章制度、会议记录、党组织和党员信息等基础数据网上管理（1分）；</w:t>
            </w:r>
          </w:p>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3.采取支部全体党员年度积分与上级党组织赋分相结合的办法,对党支部进行星级评定,作为各级党支部表彰的重要依据（1分）；</w:t>
            </w:r>
          </w:p>
          <w:p>
            <w:pPr>
              <w:widowControl/>
              <w:wordWrap/>
              <w:adjustRightInd/>
              <w:snapToGrid/>
              <w:spacing w:before="0" w:after="0" w:line="300" w:lineRule="exact"/>
              <w:ind w:left="0" w:leftChars="0" w:right="0" w:firstLine="0" w:firstLineChars="0"/>
              <w:textAlignment w:val="auto"/>
              <w:outlineLvl w:val="9"/>
              <w:rPr>
                <w:rFonts w:ascii="仿宋" w:hAnsi="仿宋" w:eastAsia="仿宋" w:cs="宋体"/>
                <w:color w:val="000000"/>
                <w:kern w:val="0"/>
              </w:rPr>
            </w:pPr>
            <w:r>
              <w:rPr>
                <w:rFonts w:hint="eastAsia" w:ascii="仿宋" w:hAnsi="仿宋" w:eastAsia="仿宋" w:cs="宋体"/>
                <w:color w:val="000000"/>
                <w:kern w:val="0"/>
              </w:rPr>
              <w:t>4.运用“新时代e支部”、单位内网宣传基层党组织建设中涌现出来的先进典型（2分）。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7" w:hRule="atLeast"/>
          <w:jc w:val="center"/>
        </w:trPr>
        <w:tc>
          <w:tcPr>
            <w:tcW w:w="944" w:type="dxa"/>
            <w:vMerge w:val="restart"/>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发挥</w:t>
            </w:r>
            <w:r>
              <w:rPr>
                <w:rFonts w:hint="eastAsia" w:ascii="黑体" w:hAnsi="黑体" w:eastAsia="黑体" w:cs="宋体"/>
                <w:bCs/>
                <w:color w:val="000000"/>
                <w:kern w:val="0"/>
                <w:sz w:val="20"/>
                <w:szCs w:val="20"/>
              </w:rPr>
              <w:br/>
            </w:r>
            <w:r>
              <w:rPr>
                <w:rFonts w:hint="eastAsia" w:ascii="黑体" w:hAnsi="黑体" w:eastAsia="黑体" w:cs="宋体"/>
                <w:bCs/>
                <w:color w:val="000000"/>
                <w:kern w:val="0"/>
                <w:sz w:val="20"/>
                <w:szCs w:val="20"/>
              </w:rPr>
              <w:t>功能</w:t>
            </w:r>
            <w:r>
              <w:rPr>
                <w:rFonts w:hint="eastAsia" w:ascii="黑体" w:hAnsi="黑体" w:eastAsia="黑体" w:cs="宋体"/>
                <w:bCs/>
                <w:color w:val="000000"/>
                <w:kern w:val="0"/>
                <w:sz w:val="20"/>
                <w:szCs w:val="20"/>
              </w:rPr>
              <w:br/>
            </w:r>
            <w:r>
              <w:rPr>
                <w:rFonts w:hint="eastAsia" w:ascii="黑体" w:hAnsi="黑体" w:eastAsia="黑体" w:cs="宋体"/>
                <w:bCs/>
                <w:color w:val="000000"/>
                <w:kern w:val="0"/>
                <w:sz w:val="20"/>
                <w:szCs w:val="20"/>
              </w:rPr>
              <w:t>作用</w:t>
            </w:r>
            <w:r>
              <w:rPr>
                <w:rFonts w:hint="eastAsia" w:ascii="黑体" w:hAnsi="黑体" w:eastAsia="黑体" w:cs="宋体"/>
                <w:bCs/>
                <w:color w:val="000000"/>
                <w:kern w:val="0"/>
                <w:sz w:val="20"/>
                <w:szCs w:val="20"/>
              </w:rPr>
              <w:br/>
            </w:r>
            <w:r>
              <w:rPr>
                <w:rFonts w:hint="eastAsia" w:ascii="黑体" w:hAnsi="黑体" w:eastAsia="黑体" w:cs="宋体"/>
                <w:bCs/>
                <w:color w:val="000000"/>
                <w:kern w:val="0"/>
                <w:sz w:val="20"/>
                <w:szCs w:val="20"/>
              </w:rPr>
              <w:t>（10分）</w:t>
            </w: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服务中心</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1.建功十三五主题实践活动、窗口单位“擦亮文明窗口”等活动开展情况（1分）；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2.医院党建特色载体创建（1分）。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54"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left"/>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抓党建促脱贫攻坚</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1.在脱贫攻坚和实施乡村振兴战略中，持续组织开展包保帮扶工作，推动资金、政策、人才等资源要素向乡村倾斜（1分）；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探索推行城乡支部联建，通过支部联支部、支部带支部、支部帮支部，加强农村党支部建设（1分）；3.充分发挥医联体优势作用，组织开展医联体下基层送技术、联合义诊到农村、送医送药到家门等服务活动，提高贫困地区医疗健康水平（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52" w:hRule="atLeast"/>
          <w:jc w:val="center"/>
        </w:trPr>
        <w:tc>
          <w:tcPr>
            <w:tcW w:w="944" w:type="dxa"/>
            <w:vMerge w:val="continue"/>
            <w:vAlign w:val="center"/>
          </w:tcPr>
          <w:p>
            <w:pPr>
              <w:widowControl/>
              <w:wordWrap/>
              <w:adjustRightInd/>
              <w:snapToGrid/>
              <w:spacing w:before="0" w:after="0" w:line="300" w:lineRule="exact"/>
              <w:ind w:left="0" w:leftChars="0" w:right="0" w:firstLine="0" w:firstLineChars="0"/>
              <w:jc w:val="left"/>
              <w:textAlignment w:val="auto"/>
              <w:outlineLvl w:val="9"/>
              <w:rPr>
                <w:rFonts w:ascii="黑体" w:hAnsi="黑体" w:eastAsia="黑体" w:cs="宋体"/>
                <w:bCs/>
                <w:color w:val="000000"/>
                <w:kern w:val="0"/>
                <w:sz w:val="20"/>
                <w:szCs w:val="20"/>
              </w:rPr>
            </w:pPr>
          </w:p>
        </w:tc>
        <w:tc>
          <w:tcPr>
            <w:tcW w:w="1354" w:type="dxa"/>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党建带群建</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1.把群团工作纳入党建工作总体规划和部署，支持群团组织依法依章程开展工作，年度至少听取1次群团工作汇报，研究和解决实际问题（1分）；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2.建立健全群团组织机构，及时配备群团组织负责人（1分）；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3.保障群团组织工作经费（1分）；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4.开展丰富多彩的群众性文体活动和岗位建功、劳动竞赛等活动（1分）；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5.将群团干部纳入干部教育培训总体规划中（1分）。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52" w:hRule="atLeast"/>
          <w:jc w:val="center"/>
        </w:trPr>
        <w:tc>
          <w:tcPr>
            <w:tcW w:w="2298" w:type="dxa"/>
            <w:gridSpan w:val="2"/>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强化</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政治</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责任</w:t>
            </w:r>
          </w:p>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（9分）</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kern w:val="0"/>
              </w:rPr>
            </w:pPr>
            <w:r>
              <w:rPr>
                <w:rFonts w:hint="eastAsia" w:ascii="仿宋" w:hAnsi="仿宋" w:eastAsia="仿宋" w:cs="宋体"/>
                <w:kern w:val="0"/>
              </w:rPr>
              <w:t>1.严格落实定期议党、专题议党制度, 党委等院级党组织每年至少定期召开2次综合性议党会议,适时召开专题议党会议,研究党建重大事项,制定重要文件政策,推动解决难点问题（3分）；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kern w:val="0"/>
              </w:rPr>
            </w:pPr>
            <w:r>
              <w:rPr>
                <w:rFonts w:hint="eastAsia" w:ascii="仿宋" w:hAnsi="仿宋" w:eastAsia="仿宋" w:cs="宋体"/>
                <w:kern w:val="0"/>
              </w:rPr>
              <w:t>2.党委等院级党组织书记认真履行第一责任人责任，带头研究部署检查党建工作，带头抓好中心组学习、组织生活、党务公开、党员干部教育管理等工作（2分）；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kern w:val="0"/>
              </w:rPr>
            </w:pPr>
            <w:r>
              <w:rPr>
                <w:rFonts w:hint="eastAsia" w:ascii="仿宋" w:hAnsi="仿宋" w:eastAsia="仿宋" w:cs="宋体"/>
                <w:kern w:val="0"/>
              </w:rPr>
              <w:t>3.党委等院级党组织成员认真履行“一岗双责”责任，按照分工抓好分管领域党建工作（2分）；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kern w:val="0"/>
              </w:rPr>
            </w:pPr>
            <w:r>
              <w:rPr>
                <w:rFonts w:hint="eastAsia" w:ascii="仿宋" w:hAnsi="仿宋" w:eastAsia="仿宋" w:cs="宋体"/>
                <w:kern w:val="0"/>
              </w:rPr>
              <w:t>4.党委等院级党组织每年至少召开1次党委等院级党组织扩大会议，研究部署党建工作（2分）。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6" w:hRule="atLeast"/>
          <w:jc w:val="center"/>
        </w:trPr>
        <w:tc>
          <w:tcPr>
            <w:tcW w:w="2298" w:type="dxa"/>
            <w:gridSpan w:val="2"/>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工作运行机制</w:t>
            </w:r>
            <w:r>
              <w:rPr>
                <w:rFonts w:hint="eastAsia" w:ascii="黑体" w:hAnsi="黑体" w:eastAsia="黑体" w:cs="宋体"/>
                <w:bCs/>
                <w:color w:val="000000"/>
                <w:kern w:val="0"/>
                <w:sz w:val="20"/>
                <w:szCs w:val="20"/>
              </w:rPr>
              <w:br/>
            </w:r>
            <w:r>
              <w:rPr>
                <w:rFonts w:hint="eastAsia" w:ascii="黑体" w:hAnsi="黑体" w:eastAsia="黑体" w:cs="宋体"/>
                <w:bCs/>
                <w:color w:val="000000"/>
                <w:kern w:val="0"/>
                <w:sz w:val="20"/>
                <w:szCs w:val="20"/>
              </w:rPr>
              <w:t>（4分）</w:t>
            </w:r>
          </w:p>
        </w:tc>
        <w:tc>
          <w:tcPr>
            <w:tcW w:w="906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1.党务公开、党内情况通报和党员定期评议党组织领导班子成员等制度落实到位（1分）；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2.公立医院党委等院级党组织每半年向上级党组织报告1次工作（1分）；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3.每年开展1次公立医院党组织书记抓基层党建工作述职评议考核，基层党支部书记向上级党组织述职（1分）；</w:t>
            </w:r>
          </w:p>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4.党建工作纳入单位领导班子、领导干部年度考核内容，所占分值不低于30%（1分）。</w:t>
            </w:r>
          </w:p>
        </w:tc>
        <w:tc>
          <w:tcPr>
            <w:tcW w:w="1621"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5"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c>
          <w:tcPr>
            <w:tcW w:w="546" w:type="dxa"/>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s="宋体"/>
                <w:color w:val="000000"/>
                <w:kern w:val="0"/>
              </w:rPr>
            </w:pPr>
            <w:r>
              <w:rPr>
                <w:rFonts w:hint="eastAsia" w:ascii="仿宋" w:hAnsi="仿宋" w:eastAsia="仿宋" w:cs="宋体"/>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2" w:hRule="atLeast"/>
          <w:jc w:val="center"/>
        </w:trPr>
        <w:tc>
          <w:tcPr>
            <w:tcW w:w="2298" w:type="dxa"/>
            <w:gridSpan w:val="2"/>
            <w:vAlign w:val="center"/>
          </w:tcPr>
          <w:p>
            <w:pPr>
              <w:widowControl/>
              <w:wordWrap/>
              <w:adjustRightInd/>
              <w:snapToGrid/>
              <w:spacing w:before="0" w:after="0" w:line="300" w:lineRule="exact"/>
              <w:ind w:left="0" w:leftChars="0" w:right="0" w:firstLine="0" w:firstLineChars="0"/>
              <w:jc w:val="center"/>
              <w:textAlignment w:val="auto"/>
              <w:outlineLvl w:val="9"/>
              <w:rPr>
                <w:rFonts w:ascii="黑体" w:hAnsi="黑体" w:eastAsia="黑体" w:cs="宋体"/>
                <w:bCs/>
                <w:color w:val="000000"/>
                <w:kern w:val="0"/>
                <w:sz w:val="20"/>
                <w:szCs w:val="20"/>
              </w:rPr>
            </w:pPr>
            <w:r>
              <w:rPr>
                <w:rFonts w:hint="eastAsia" w:ascii="黑体" w:hAnsi="黑体" w:eastAsia="黑体" w:cs="宋体"/>
                <w:bCs/>
                <w:color w:val="000000"/>
                <w:kern w:val="0"/>
                <w:sz w:val="20"/>
                <w:szCs w:val="20"/>
              </w:rPr>
              <w:t>备注</w:t>
            </w:r>
          </w:p>
        </w:tc>
        <w:tc>
          <w:tcPr>
            <w:tcW w:w="12322" w:type="dxa"/>
            <w:gridSpan w:val="5"/>
            <w:vAlign w:val="center"/>
          </w:tcPr>
          <w:p>
            <w:pPr>
              <w:widowControl/>
              <w:wordWrap/>
              <w:adjustRightInd/>
              <w:snapToGrid/>
              <w:spacing w:before="0" w:after="0" w:line="300" w:lineRule="exact"/>
              <w:ind w:left="0" w:leftChars="0" w:right="0" w:firstLine="0" w:firstLineChars="0"/>
              <w:jc w:val="left"/>
              <w:textAlignment w:val="auto"/>
              <w:outlineLvl w:val="9"/>
              <w:rPr>
                <w:rFonts w:ascii="仿宋" w:hAnsi="仿宋" w:eastAsia="仿宋"/>
                <w:color w:val="000000"/>
                <w:kern w:val="0"/>
              </w:rPr>
            </w:pPr>
            <w:r>
              <w:rPr>
                <w:rFonts w:hint="eastAsia" w:ascii="仿宋" w:hAnsi="仿宋" w:eastAsia="仿宋" w:cs="宋体"/>
                <w:color w:val="000000"/>
                <w:kern w:val="0"/>
              </w:rPr>
              <w:t>考核工作设置一票否决，存在下列情况之一的机关基层党委不予评定：①党委班子成员有重大违纪违法行为的；②工作出现重大失误，受到组织处理的。</w:t>
            </w:r>
          </w:p>
        </w:tc>
      </w:tr>
    </w:tbl>
    <w:p>
      <w:bookmarkStart w:id="1" w:name="_GoBack"/>
      <w:bookmarkEnd w:id="1"/>
    </w:p>
    <w:sectPr>
      <w:headerReference r:id="rId4" w:type="default"/>
      <w:footerReference r:id="rId6" w:type="default"/>
      <w:headerReference r:id="rId5" w:type="even"/>
      <w:footerReference r:id="rId7" w:type="even"/>
      <w:pgSz w:w="16838" w:h="11906" w:orient="landscape"/>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长城大标宋体">
    <w:altName w:val="宋体"/>
    <w:panose1 w:val="0201060901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rPr>
        <w:rFonts w:cs="Times New Roman"/>
      </w:rPr>
    </w:pPr>
    <w:r>
      <w:rPr>
        <w:rFonts w:ascii="Calibri" w:hAnsi="Calibri" w:eastAsia="宋体" w:cs="Calibri"/>
        <w:kern w:val="2"/>
        <w:sz w:val="18"/>
        <w:szCs w:val="18"/>
        <w:lang w:val="en-US" w:eastAsia="zh-CN" w:bidi="ar-SA"/>
      </w:rPr>
      <w:pict>
        <v:shape id="文本框 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r>
      <w:rPr>
        <w:rFonts w:ascii="Calibri" w:hAnsi="Calibri" w:eastAsia="宋体" w:cs="Calibri"/>
        <w:kern w:val="2"/>
        <w:sz w:val="18"/>
        <w:szCs w:val="18"/>
        <w:lang w:val="en-US" w:eastAsia="zh-CN" w:bidi="ar-SA"/>
      </w:rPr>
      <w:pict>
        <v:shape id="文本框 3"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widowControl w:val="0"/>
                  <w:wordWrap/>
                  <w:adjustRightInd/>
                  <w:snapToGrid w:val="0"/>
                  <w:spacing w:before="0" w:after="0" w:line="240" w:lineRule="auto"/>
                  <w:ind w:left="210" w:leftChars="100" w:right="0" w:firstLine="0" w:firstLineChars="0"/>
                  <w:jc w:val="left"/>
                  <w:textAlignment w:val="auto"/>
                  <w:outlineLvl w:val="9"/>
                  <w:rPr>
                    <w:rStyle w:val="9"/>
                  </w:rPr>
                </w:pP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paragraph" w:styleId="3">
    <w:name w:val="Balloon Text"/>
    <w:basedOn w:val="1"/>
    <w:link w:val="18"/>
    <w:semiHidden/>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cs="Times New Roman"/>
      <w:b/>
      <w:bCs/>
    </w:rPr>
  </w:style>
  <w:style w:type="character" w:styleId="9">
    <w:name w:val="page number"/>
    <w:basedOn w:val="7"/>
    <w:qFormat/>
    <w:uiPriority w:val="0"/>
    <w:rPr>
      <w:rFonts w:cs="Times New Roman"/>
    </w:rPr>
  </w:style>
  <w:style w:type="character" w:styleId="10">
    <w:name w:val="Hyperlink"/>
    <w:basedOn w:val="7"/>
    <w:qFormat/>
    <w:uiPriority w:val="0"/>
    <w:rPr>
      <w:rFonts w:cs="Times New Roman"/>
      <w:color w:val="0000FF"/>
      <w:u w:val="single"/>
    </w:r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Char Char Char Char"/>
    <w:basedOn w:val="1"/>
    <w:qFormat/>
    <w:uiPriority w:val="0"/>
    <w:pPr>
      <w:widowControl/>
      <w:spacing w:after="160" w:line="240" w:lineRule="exact"/>
      <w:jc w:val="left"/>
    </w:pPr>
    <w:rPr>
      <w:rFonts w:ascii="Times New Roman" w:hAnsi="Times New Roman" w:eastAsia="黑体" w:cs="Times New Roman"/>
      <w:sz w:val="32"/>
      <w:szCs w:val="20"/>
      <w:lang w:eastAsia="en-US"/>
    </w:rPr>
  </w:style>
  <w:style w:type="paragraph" w:customStyle="1" w:styleId="1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4">
    <w:name w:val="标题 1 Char"/>
    <w:basedOn w:val="7"/>
    <w:link w:val="2"/>
    <w:qFormat/>
    <w:uiPriority w:val="0"/>
    <w:rPr>
      <w:rFonts w:ascii="宋体" w:hAnsi="宋体" w:eastAsia="宋体" w:cs="宋体"/>
      <w:b/>
      <w:bCs/>
      <w:kern w:val="36"/>
      <w:sz w:val="48"/>
      <w:szCs w:val="48"/>
    </w:rPr>
  </w:style>
  <w:style w:type="character" w:customStyle="1" w:styleId="15">
    <w:name w:val="16"/>
    <w:basedOn w:val="7"/>
    <w:qFormat/>
    <w:uiPriority w:val="0"/>
    <w:rPr>
      <w:rFonts w:cs="Times New Roman"/>
    </w:rPr>
  </w:style>
  <w:style w:type="character" w:customStyle="1" w:styleId="16">
    <w:name w:val="页脚 Char"/>
    <w:basedOn w:val="7"/>
    <w:link w:val="4"/>
    <w:qFormat/>
    <w:uiPriority w:val="0"/>
    <w:rPr>
      <w:rFonts w:ascii="Calibri" w:hAnsi="Calibri" w:eastAsia="宋体" w:cs="Calibri"/>
      <w:sz w:val="18"/>
      <w:szCs w:val="18"/>
    </w:rPr>
  </w:style>
  <w:style w:type="character" w:customStyle="1" w:styleId="17">
    <w:name w:val="页眉 Char"/>
    <w:basedOn w:val="7"/>
    <w:link w:val="5"/>
    <w:semiHidden/>
    <w:qFormat/>
    <w:uiPriority w:val="0"/>
    <w:rPr>
      <w:rFonts w:ascii="Calibri" w:hAnsi="Calibri" w:eastAsia="宋体" w:cs="Calibri"/>
      <w:sz w:val="18"/>
      <w:szCs w:val="18"/>
    </w:rPr>
  </w:style>
  <w:style w:type="character" w:customStyle="1" w:styleId="18">
    <w:name w:val="批注框文本 Char"/>
    <w:basedOn w:val="7"/>
    <w:link w:val="3"/>
    <w:semiHidden/>
    <w:qFormat/>
    <w:uiPriority w:val="0"/>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12</Pages>
  <Words>1302</Words>
  <Characters>7424</Characters>
  <Lines>61</Lines>
  <Paragraphs>17</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2019-11-13T04:42:00Z</dcterms:created>
  <dc:creator>dell</dc:creator>
  <cp:lastModifiedBy>lenovo</cp:lastModifiedBy>
  <cp:lastPrinted>2020-06-03T08:50:00Z</cp:lastPrinted>
  <dcterms:modified xsi:type="dcterms:W3CDTF">2020-06-04T02:43:56Z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