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黑体" w:cs="黑体"/>
          <w:color w:val="auto"/>
          <w:sz w:val="28"/>
          <w:szCs w:val="28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</w:rPr>
        <w:t>吉林省</w:t>
      </w:r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  <w:lang w:eastAsia="zh-CN"/>
        </w:rPr>
        <w:t>城市</w:t>
      </w:r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</w:rPr>
        <w:t>基础设施建设奖</w:t>
      </w:r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  <w:lang w:eastAsia="zh-CN"/>
        </w:rPr>
        <w:t>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</w:rPr>
        <w:t>资金管理办法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第一章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总则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第一条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为加快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推进全省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  <w:lang w:eastAsia="zh-CN"/>
        </w:rPr>
        <w:t>各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城市基础设施建设，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  <w:lang w:eastAsia="zh-CN"/>
        </w:rPr>
        <w:t>提升市县居民生活幸福指数，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提高资金使用效益，根据《中华人民共和国预算法》、《吉林省预算审查监督条例》、</w:t>
      </w:r>
      <w:r>
        <w:rPr>
          <w:rFonts w:hint="eastAsia" w:ascii="宋体" w:hAnsi="宋体"/>
          <w:color w:val="auto"/>
          <w:highlight w:val="none"/>
        </w:rPr>
        <w:t>《吉林省人民政府关于修订吉林省省级财政专项资金管理办法的通知》（吉政发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[2014]1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0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号</w:t>
      </w:r>
      <w:r>
        <w:rPr>
          <w:rFonts w:hint="eastAsia" w:ascii="宋体" w:hAnsi="宋体"/>
          <w:color w:val="auto"/>
          <w:highlight w:val="none"/>
        </w:rPr>
        <w:t>）、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《吉林省人民政府关于加强城市基础设施建设的实施意见》（吉政发[2014]13号）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highlight w:val="none"/>
        </w:rPr>
        <w:t>《中共吉林省委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吉林省人民</w:t>
      </w:r>
      <w:r>
        <w:rPr>
          <w:rFonts w:hint="eastAsia" w:ascii="宋体" w:hAnsi="宋体"/>
          <w:color w:val="auto"/>
          <w:highlight w:val="none"/>
          <w:lang w:eastAsia="zh-CN"/>
        </w:rPr>
        <w:t>政</w:t>
      </w:r>
      <w:r>
        <w:rPr>
          <w:rFonts w:hint="eastAsia" w:ascii="宋体" w:hAnsi="宋体"/>
          <w:color w:val="auto"/>
          <w:highlight w:val="none"/>
        </w:rPr>
        <w:t>府关于全面实施预算绩效管理的实施意见》（吉发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[201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9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]1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0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号</w:t>
      </w:r>
      <w:r>
        <w:rPr>
          <w:rFonts w:hint="eastAsia" w:ascii="宋体" w:hAnsi="宋体"/>
          <w:color w:val="auto"/>
          <w:highlight w:val="none"/>
        </w:rPr>
        <w:t>）</w:t>
      </w:r>
      <w:r>
        <w:rPr>
          <w:rFonts w:hint="eastAsia" w:ascii="宋体" w:hAnsi="宋体"/>
          <w:color w:val="auto"/>
          <w:highlight w:val="none"/>
          <w:lang w:eastAsia="zh-CN"/>
        </w:rPr>
        <w:t>等</w:t>
      </w:r>
      <w:r>
        <w:rPr>
          <w:rFonts w:hint="eastAsia" w:ascii="宋体" w:hAnsi="宋体"/>
          <w:color w:val="auto"/>
          <w:highlight w:val="none"/>
        </w:rPr>
        <w:t>规定，制定本办法。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highlight w:val="none"/>
        </w:rPr>
        <w:t>二条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城市基础设施建设，属于市县财政事权和支出责任，由市县政府负责筹措安排资金和组织实施，省级对建设完成效果较好的市县给予适当奖补。</w:t>
      </w:r>
    </w:p>
    <w:p>
      <w:p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第三条  </w:t>
      </w:r>
      <w:r>
        <w:rPr>
          <w:rFonts w:hint="eastAsia" w:ascii="宋体" w:hAnsi="宋体"/>
          <w:color w:val="auto"/>
          <w:highlight w:val="none"/>
        </w:rPr>
        <w:t>本办法所称</w:t>
      </w:r>
      <w:r>
        <w:rPr>
          <w:rFonts w:hint="eastAsia" w:ascii="宋体" w:hAnsi="宋体"/>
          <w:color w:val="auto"/>
          <w:highlight w:val="none"/>
          <w:lang w:eastAsia="zh-CN"/>
        </w:rPr>
        <w:t>城市</w:t>
      </w:r>
      <w:r>
        <w:rPr>
          <w:rFonts w:hint="eastAsia" w:ascii="宋体" w:hAnsi="宋体"/>
          <w:color w:val="auto"/>
          <w:highlight w:val="none"/>
        </w:rPr>
        <w:t>基础设施建设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资金（以下简称“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资金”）</w:t>
      </w:r>
      <w:r>
        <w:rPr>
          <w:rFonts w:hint="eastAsia" w:ascii="宋体" w:hAnsi="宋体"/>
          <w:color w:val="auto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highlight w:val="none"/>
        </w:rPr>
        <w:t>是指省级财政预算安排专项用于</w:t>
      </w:r>
      <w:r>
        <w:rPr>
          <w:rFonts w:hint="eastAsia" w:ascii="宋体" w:hAnsi="宋体"/>
          <w:color w:val="auto"/>
          <w:highlight w:val="none"/>
          <w:lang w:eastAsia="zh-CN"/>
        </w:rPr>
        <w:t>鼓励省内各</w:t>
      </w:r>
      <w:r>
        <w:rPr>
          <w:rFonts w:hint="eastAsia" w:ascii="宋体" w:hAnsi="宋体"/>
          <w:color w:val="auto"/>
          <w:highlight w:val="none"/>
        </w:rPr>
        <w:t>城市</w:t>
      </w:r>
      <w:r>
        <w:rPr>
          <w:rFonts w:hint="eastAsia" w:ascii="宋体" w:hAnsi="宋体"/>
          <w:color w:val="auto"/>
          <w:highlight w:val="none"/>
          <w:lang w:eastAsia="zh-CN"/>
        </w:rPr>
        <w:t>完成城区范围内</w:t>
      </w:r>
      <w:r>
        <w:rPr>
          <w:rFonts w:hint="eastAsia" w:ascii="宋体" w:hAnsi="宋体"/>
          <w:color w:val="auto"/>
          <w:highlight w:val="none"/>
        </w:rPr>
        <w:t>市政基础设施建设</w:t>
      </w:r>
      <w:r>
        <w:rPr>
          <w:rFonts w:hint="eastAsia" w:ascii="宋体" w:hAnsi="宋体"/>
          <w:color w:val="auto"/>
          <w:highlight w:val="none"/>
          <w:lang w:eastAsia="zh-CN"/>
        </w:rPr>
        <w:t>任务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资金，资金执行期限为202</w:t>
      </w:r>
      <w:r>
        <w:rPr>
          <w:rFonts w:hint="eastAsia" w:ascii="宋体" w:hAnsi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highlight w:val="none"/>
        </w:rPr>
        <w:t>年-2023年。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highlight w:val="none"/>
        </w:rPr>
        <w:t>第</w:t>
      </w:r>
      <w:r>
        <w:rPr>
          <w:rFonts w:hint="eastAsia" w:ascii="宋体" w:hAnsi="宋体"/>
          <w:color w:val="auto"/>
          <w:highlight w:val="none"/>
          <w:lang w:eastAsia="zh-CN"/>
        </w:rPr>
        <w:t>四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本办法所称市政基础设施建设项目</w:t>
      </w:r>
      <w:r>
        <w:rPr>
          <w:rFonts w:hint="eastAsia" w:ascii="宋体" w:hAnsi="宋体"/>
          <w:color w:val="auto"/>
          <w:highlight w:val="none"/>
          <w:lang w:eastAsia="zh-CN"/>
        </w:rPr>
        <w:t>，是指市县政府主导在城市建成区内实施的新建、升级、更新改造等市政设施。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</w:t>
      </w:r>
      <w:r>
        <w:rPr>
          <w:rFonts w:hint="eastAsia" w:ascii="宋体" w:hAnsi="宋体"/>
          <w:color w:val="auto"/>
          <w:highlight w:val="none"/>
          <w:lang w:eastAsia="zh-CN"/>
        </w:rPr>
        <w:t>五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资金管理遵循公平、公正、公开原则，接受社会监督。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第二章  </w:t>
      </w:r>
      <w:r>
        <w:rPr>
          <w:rFonts w:hint="eastAsia" w:ascii="宋体" w:hAnsi="宋体"/>
          <w:color w:val="auto"/>
          <w:highlight w:val="none"/>
        </w:rPr>
        <w:t>管理职责</w:t>
      </w:r>
    </w:p>
    <w:p>
      <w:p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</w:t>
      </w:r>
      <w:r>
        <w:rPr>
          <w:rFonts w:hint="eastAsia" w:ascii="宋体" w:hAnsi="宋体"/>
          <w:color w:val="auto"/>
          <w:highlight w:val="none"/>
          <w:lang w:eastAsia="zh-CN"/>
        </w:rPr>
        <w:t>六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资金由省财政厅、省住房城乡建设厅共同负责管理。</w:t>
      </w:r>
    </w:p>
    <w:p>
      <w:pPr>
        <w:ind w:firstLine="640" w:firstLineChars="200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省财政厅职责：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负责筹措安排年度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资金，制定资金管理办法，下达资金支出预算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，加强绩效评价管理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省住房城乡建设厅</w:t>
      </w:r>
      <w:r>
        <w:rPr>
          <w:rFonts w:ascii="宋体" w:hAnsi="宋体"/>
          <w:color w:val="auto"/>
          <w:highlight w:val="none"/>
        </w:rPr>
        <w:t>职责：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负责组织项目申报、评审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提出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专项资金分配建议、专项资金总体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绩效目标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监督项目实施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组织开展绩效自评、项目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总体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绩效评价，做好信息公开工作。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市县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财政部门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职责：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做好项目申报配合工作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，按规定程序拨付资金，配合做好绩效评价工作。</w:t>
      </w:r>
    </w:p>
    <w:p>
      <w:pPr>
        <w:numPr>
          <w:ilvl w:val="-1"/>
          <w:numId w:val="0"/>
        </w:numPr>
        <w:ind w:firstLine="640" w:firstLineChars="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市县住建部门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职责：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年度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申报通知要求，组织项目申报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材料，并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对申报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材料内容的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真实性、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组织实施程序的合法性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；具体组织项目实施，督促施工单位加快建设，会同相关部门进行完工验收；组织建设单位开展项目绩效自评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-1"/>
          <w:numId w:val="0"/>
        </w:numPr>
        <w:ind w:firstLine="640" w:firstLineChars="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第三章  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资金支持范围和标准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第七条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奖补范围。</w:t>
      </w:r>
    </w:p>
    <w:p>
      <w:pPr>
        <w:ind w:firstLine="640" w:firstLineChars="200"/>
        <w:rPr>
          <w:rFonts w:hint="default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（一）</w:t>
      </w:r>
      <w:r>
        <w:rPr>
          <w:rFonts w:hint="eastAsia" w:ascii="宋体" w:hAnsi="宋体"/>
          <w:color w:val="auto"/>
          <w:highlight w:val="none"/>
        </w:rPr>
        <w:t>污水管线</w:t>
      </w:r>
      <w:r>
        <w:rPr>
          <w:rFonts w:hint="eastAsia" w:ascii="宋体" w:hAnsi="宋体"/>
          <w:color w:val="auto"/>
          <w:highlight w:val="none"/>
          <w:lang w:eastAsia="zh-CN"/>
        </w:rPr>
        <w:t>、雨水收集</w:t>
      </w:r>
      <w:r>
        <w:rPr>
          <w:rFonts w:hint="eastAsia" w:ascii="宋体" w:hAnsi="宋体"/>
          <w:color w:val="auto"/>
          <w:highlight w:val="none"/>
        </w:rPr>
        <w:t>、</w:t>
      </w:r>
      <w:r>
        <w:rPr>
          <w:rFonts w:hint="eastAsia" w:ascii="宋体" w:hAnsi="宋体"/>
          <w:color w:val="auto"/>
          <w:highlight w:val="none"/>
          <w:lang w:eastAsia="zh-CN"/>
        </w:rPr>
        <w:t>城市内涝积水点治理等道路附属设施</w:t>
      </w:r>
      <w:r>
        <w:rPr>
          <w:rFonts w:hint="eastAsia" w:ascii="宋体" w:hAnsi="宋体"/>
          <w:color w:val="auto"/>
          <w:highlight w:val="none"/>
          <w:lang w:val="en-US" w:eastAsia="zh-CN"/>
        </w:rPr>
        <w:t>；</w:t>
      </w:r>
    </w:p>
    <w:p>
      <w:pPr>
        <w:ind w:firstLine="640" w:firstLineChars="200"/>
        <w:rPr>
          <w:rFonts w:hint="default" w:ascii="宋体" w:hAnsi="宋体" w:eastAsia="仿宋_GB2312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（二）</w:t>
      </w:r>
      <w:r>
        <w:rPr>
          <w:rFonts w:hint="eastAsia" w:ascii="宋体" w:hAnsi="宋体"/>
          <w:color w:val="auto"/>
          <w:highlight w:val="none"/>
        </w:rPr>
        <w:t>再生水设施、污泥处理处置设施</w:t>
      </w:r>
      <w:r>
        <w:rPr>
          <w:rFonts w:hint="eastAsia" w:ascii="宋体" w:hAnsi="宋体"/>
          <w:color w:val="auto"/>
          <w:highlight w:val="none"/>
          <w:lang w:val="en-US" w:eastAsia="zh-CN"/>
        </w:rPr>
        <w:t>；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（三）</w:t>
      </w:r>
      <w:r>
        <w:rPr>
          <w:rFonts w:hint="eastAsia" w:ascii="宋体" w:hAnsi="宋体"/>
          <w:color w:val="auto"/>
          <w:highlight w:val="none"/>
          <w:lang w:val="en-US" w:eastAsia="zh-CN"/>
        </w:rPr>
        <w:t>公共供水设施；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（四）燃气管道设施更新改造；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（五）除上述内容外，其他</w:t>
      </w:r>
      <w:r>
        <w:rPr>
          <w:rFonts w:hint="eastAsia" w:ascii="宋体" w:hAnsi="宋体"/>
          <w:color w:val="auto"/>
          <w:highlight w:val="none"/>
          <w:lang w:eastAsia="zh-CN"/>
        </w:rPr>
        <w:t>海绵城市建设和黑臭水体治理方案中的部分建设内容</w:t>
      </w:r>
      <w:r>
        <w:rPr>
          <w:rFonts w:hint="eastAsia" w:ascii="宋体" w:hAnsi="宋体"/>
          <w:color w:val="auto"/>
          <w:highlight w:val="none"/>
          <w:lang w:val="en-US" w:eastAsia="zh-CN"/>
        </w:rPr>
        <w:t>；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（六）年度省委省政府要求的重大市政建设项目。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第八条 </w:t>
      </w:r>
      <w:r>
        <w:rPr>
          <w:rFonts w:hint="eastAsia" w:ascii="宋体" w:hAnsi="宋体"/>
          <w:color w:val="auto"/>
          <w:highlight w:val="none"/>
          <w:lang w:eastAsia="zh-CN"/>
        </w:rPr>
        <w:t>奖补标准。奖补资金采取按比例奖补或定额奖补两种方式。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highlight w:val="none"/>
          <w:lang w:eastAsia="zh-CN"/>
        </w:rPr>
        <w:t>）按比例奖补。奖补比例最高不超过支持类型项目完成</w:t>
      </w:r>
      <w:r>
        <w:rPr>
          <w:rFonts w:hint="eastAsia" w:ascii="宋体" w:hAnsi="宋体"/>
          <w:color w:val="auto"/>
          <w:highlight w:val="none"/>
          <w:lang w:val="en-US" w:eastAsia="zh-CN"/>
        </w:rPr>
        <w:t>年度</w:t>
      </w:r>
      <w:r>
        <w:rPr>
          <w:rFonts w:hint="eastAsia" w:ascii="宋体" w:hAnsi="宋体"/>
          <w:color w:val="auto"/>
          <w:highlight w:val="none"/>
          <w:lang w:eastAsia="zh-CN"/>
        </w:rPr>
        <w:t>投资的</w:t>
      </w:r>
      <w:r>
        <w:rPr>
          <w:rFonts w:hint="eastAsia" w:ascii="宋体" w:hAnsi="宋体"/>
          <w:color w:val="auto"/>
          <w:highlight w:val="none"/>
          <w:lang w:val="en-US" w:eastAsia="zh-CN"/>
        </w:rPr>
        <w:t>30％；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（二）定额奖补。对完成年度任务情况较好的市县给予定额奖补。</w:t>
      </w:r>
    </w:p>
    <w:p>
      <w:pPr>
        <w:numPr>
          <w:ilvl w:val="0"/>
          <w:numId w:val="0"/>
        </w:num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第四章  </w:t>
      </w:r>
      <w:r>
        <w:rPr>
          <w:rFonts w:hint="eastAsia" w:ascii="宋体" w:hAnsi="宋体"/>
          <w:color w:val="auto"/>
          <w:highlight w:val="none"/>
        </w:rPr>
        <w:t>项目申报与审核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第九条  按照省级专项资金管理要求，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省住房城乡建设厅会同省财政厅确定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年度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支持重点，发布年度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资金项目申报通知，明确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年度省级资金支持项目的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申报范围、时间、条件、材料、绩效目标等要求。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原则上，年度省级专项资金支持2种类型项目，最高不超过3类。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第十条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各市县住建部门根据申报通知要求，认真组织项目申报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材料，联合同级财政部门以正式文件形式报省住房城乡建设厅、省财政厅；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同级财政部门做好项目申报配合工作。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/>
          <w:strike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第十一条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省住房城乡建设厅会同省财政厅组织专家或委托第三方中介机构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对项目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进行评审、论证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或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实地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抽查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核实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。省住房城乡建设厅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提出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奖补项目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安排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建议，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经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省财政厅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审核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后，按照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省级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专项资金审批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流程执行。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第五章  </w:t>
      </w:r>
      <w:r>
        <w:rPr>
          <w:rFonts w:hint="eastAsia" w:ascii="宋体" w:hAnsi="宋体"/>
          <w:color w:val="auto"/>
          <w:highlight w:val="none"/>
        </w:rPr>
        <w:t>资金分配</w:t>
      </w:r>
      <w:r>
        <w:rPr>
          <w:rFonts w:hint="eastAsia" w:ascii="宋体" w:hAnsi="宋体"/>
          <w:color w:val="auto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highlight w:val="none"/>
        </w:rPr>
        <w:t>拨付</w:t>
      </w:r>
      <w:r>
        <w:rPr>
          <w:rFonts w:hint="eastAsia" w:ascii="宋体" w:hAnsi="宋体"/>
          <w:color w:val="auto"/>
          <w:highlight w:val="none"/>
          <w:lang w:eastAsia="zh-CN"/>
        </w:rPr>
        <w:t>和</w:t>
      </w:r>
      <w:r>
        <w:rPr>
          <w:rFonts w:hint="eastAsia" w:ascii="宋体" w:hAnsi="宋体"/>
          <w:color w:val="auto"/>
          <w:highlight w:val="none"/>
        </w:rPr>
        <w:t>使用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第十</w:t>
      </w:r>
      <w:r>
        <w:rPr>
          <w:rFonts w:hint="eastAsia" w:ascii="宋体" w:hAnsi="宋体"/>
          <w:color w:val="auto"/>
          <w:highlight w:val="none"/>
          <w:lang w:eastAsia="zh-CN"/>
        </w:rPr>
        <w:t>二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资金采取项目法分配原则，实行“先实施，</w:t>
      </w:r>
      <w:r>
        <w:rPr>
          <w:rFonts w:hint="eastAsia" w:ascii="宋体" w:hAnsi="宋体"/>
          <w:color w:val="auto"/>
          <w:highlight w:val="none"/>
          <w:lang w:eastAsia="zh-CN"/>
        </w:rPr>
        <w:t>后绩效，再拨付</w:t>
      </w:r>
      <w:r>
        <w:rPr>
          <w:rFonts w:hint="eastAsia" w:ascii="宋体" w:hAnsi="宋体"/>
          <w:color w:val="auto"/>
          <w:highlight w:val="none"/>
        </w:rPr>
        <w:t>”的方式。</w:t>
      </w:r>
      <w:r>
        <w:rPr>
          <w:rFonts w:hint="eastAsia" w:ascii="宋体" w:hAnsi="宋体"/>
          <w:color w:val="auto"/>
          <w:highlight w:val="none"/>
          <w:lang w:eastAsia="zh-CN"/>
        </w:rPr>
        <w:t>省级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  <w:lang w:eastAsia="zh-CN"/>
        </w:rPr>
        <w:t>视年度资金规模情况，对在规定时间内开工、完工、通过验收，并在当年绩效评价中成绩突出的项目给予一次性奖补支持。</w:t>
      </w:r>
    </w:p>
    <w:p>
      <w:pPr>
        <w:numPr>
          <w:ilvl w:val="-1"/>
          <w:numId w:val="0"/>
        </w:numPr>
        <w:ind w:firstLine="0" w:firstLineChars="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highlight w:val="none"/>
          <w:lang w:eastAsia="zh-CN"/>
        </w:rPr>
        <w:t>第十三条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按照</w:t>
      </w:r>
      <w:r>
        <w:rPr>
          <w:rFonts w:hint="eastAsia" w:ascii="宋体" w:hAnsi="宋体"/>
          <w:color w:val="auto"/>
          <w:highlight w:val="none"/>
        </w:rPr>
        <w:t>省</w:t>
      </w:r>
      <w:r>
        <w:rPr>
          <w:rFonts w:hint="eastAsia" w:ascii="宋体" w:hAnsi="宋体"/>
          <w:color w:val="auto"/>
          <w:highlight w:val="none"/>
          <w:lang w:eastAsia="zh-CN"/>
        </w:rPr>
        <w:t>级专项资金审批流程</w:t>
      </w:r>
      <w:r>
        <w:rPr>
          <w:rFonts w:hint="eastAsia" w:ascii="宋体" w:hAnsi="宋体"/>
          <w:color w:val="auto"/>
          <w:highlight w:val="none"/>
        </w:rPr>
        <w:t>审定意见</w:t>
      </w:r>
      <w:r>
        <w:rPr>
          <w:rFonts w:hint="eastAsia" w:ascii="宋体" w:hAnsi="宋体"/>
          <w:color w:val="auto"/>
          <w:highlight w:val="none"/>
          <w:lang w:eastAsia="zh-CN"/>
        </w:rPr>
        <w:t>，省住房城乡建设厅</w:t>
      </w:r>
      <w:r>
        <w:rPr>
          <w:rFonts w:hint="eastAsia" w:ascii="宋体" w:hAnsi="宋体"/>
          <w:color w:val="auto"/>
          <w:highlight w:val="none"/>
        </w:rPr>
        <w:t>提</w:t>
      </w:r>
      <w:r>
        <w:rPr>
          <w:rFonts w:hint="eastAsia" w:ascii="宋体" w:hAnsi="宋体"/>
          <w:color w:val="auto"/>
          <w:highlight w:val="none"/>
          <w:lang w:eastAsia="zh-CN"/>
        </w:rPr>
        <w:t>出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highlight w:val="none"/>
          <w:lang w:eastAsia="zh-CN"/>
        </w:rPr>
        <w:t>项目</w:t>
      </w:r>
      <w:r>
        <w:rPr>
          <w:rFonts w:hint="eastAsia" w:ascii="宋体" w:hAnsi="宋体"/>
          <w:color w:val="auto"/>
          <w:highlight w:val="none"/>
        </w:rPr>
        <w:t>资金</w:t>
      </w:r>
      <w:r>
        <w:rPr>
          <w:rFonts w:hint="eastAsia" w:ascii="宋体" w:hAnsi="宋体"/>
          <w:color w:val="auto"/>
          <w:highlight w:val="none"/>
          <w:lang w:eastAsia="zh-CN"/>
        </w:rPr>
        <w:t>安排</w:t>
      </w:r>
      <w:r>
        <w:rPr>
          <w:rFonts w:hint="eastAsia" w:ascii="宋体" w:hAnsi="宋体"/>
          <w:color w:val="auto"/>
          <w:highlight w:val="none"/>
        </w:rPr>
        <w:t>建议</w:t>
      </w:r>
      <w:r>
        <w:rPr>
          <w:rFonts w:hint="eastAsia" w:ascii="宋体" w:hAnsi="宋体"/>
          <w:color w:val="auto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highlight w:val="none"/>
        </w:rPr>
        <w:t>省财政厅</w:t>
      </w:r>
      <w:r>
        <w:rPr>
          <w:rFonts w:hint="eastAsia" w:ascii="宋体" w:hAnsi="宋体"/>
          <w:color w:val="auto"/>
          <w:highlight w:val="none"/>
          <w:lang w:eastAsia="zh-CN"/>
        </w:rPr>
        <w:t>下达资金预算文件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第十四条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使用财政资金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完成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的建设项目，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由市县财政和住建部门按照预算管理要求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统筹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用于当地其他市政基础设施建设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为鼓励社会资本参与市政基础设施建设，由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企业全部使用自有资金建设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并通过行业主管部门验收的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项目，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资金由建设单位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用于本单位生产经营支出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第十五条  </w:t>
      </w:r>
      <w:r>
        <w:rPr>
          <w:rFonts w:hint="eastAsia" w:ascii="宋体" w:hAnsi="宋体"/>
          <w:color w:val="auto"/>
          <w:highlight w:val="none"/>
        </w:rPr>
        <w:t>对同一项目</w:t>
      </w:r>
      <w:r>
        <w:rPr>
          <w:rFonts w:hint="eastAsia" w:ascii="宋体" w:hAnsi="宋体"/>
          <w:color w:val="auto"/>
          <w:highlight w:val="none"/>
          <w:lang w:eastAsia="zh-CN"/>
        </w:rPr>
        <w:t>在上一年度和本年度</w:t>
      </w:r>
      <w:r>
        <w:rPr>
          <w:rFonts w:hint="eastAsia" w:ascii="宋体" w:hAnsi="宋体"/>
          <w:color w:val="auto"/>
          <w:highlight w:val="none"/>
        </w:rPr>
        <w:t>已获省级其他财政资金支持的，本</w:t>
      </w:r>
      <w:r>
        <w:rPr>
          <w:rFonts w:hint="eastAsia" w:ascii="宋体" w:hAnsi="宋体"/>
          <w:color w:val="auto"/>
          <w:highlight w:val="none"/>
          <w:lang w:eastAsia="zh-CN"/>
        </w:rPr>
        <w:t>项奖补</w:t>
      </w:r>
      <w:r>
        <w:rPr>
          <w:rFonts w:hint="eastAsia" w:ascii="宋体" w:hAnsi="宋体"/>
          <w:color w:val="auto"/>
          <w:highlight w:val="none"/>
        </w:rPr>
        <w:t>资金不再</w:t>
      </w:r>
      <w:r>
        <w:rPr>
          <w:rFonts w:hint="eastAsia" w:ascii="宋体" w:hAnsi="宋体"/>
          <w:color w:val="auto"/>
          <w:highlight w:val="none"/>
          <w:lang w:eastAsia="zh-CN"/>
        </w:rPr>
        <w:t>重复</w:t>
      </w:r>
      <w:r>
        <w:rPr>
          <w:rFonts w:hint="eastAsia" w:ascii="宋体" w:hAnsi="宋体"/>
          <w:color w:val="auto"/>
          <w:highlight w:val="none"/>
        </w:rPr>
        <w:t>支持</w:t>
      </w:r>
      <w:r>
        <w:rPr>
          <w:rFonts w:hint="eastAsia" w:ascii="宋体" w:hAnsi="宋体"/>
          <w:color w:val="auto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highlight w:val="none"/>
        </w:rPr>
        <w:t>市县住建</w:t>
      </w:r>
      <w:r>
        <w:rPr>
          <w:rFonts w:hint="eastAsia" w:ascii="宋体" w:hAnsi="宋体"/>
          <w:color w:val="auto"/>
          <w:highlight w:val="none"/>
          <w:lang w:eastAsia="zh-CN"/>
        </w:rPr>
        <w:t>和</w:t>
      </w:r>
      <w:r>
        <w:rPr>
          <w:rFonts w:hint="eastAsia" w:ascii="宋体" w:hAnsi="宋体"/>
          <w:color w:val="auto"/>
          <w:highlight w:val="none"/>
        </w:rPr>
        <w:t>财政部门不得重复申报。对同一项目重复获得省级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资金的，按照吉林省财政厅《关于建立健全涉企财政资金分配查重机制的通知》</w:t>
      </w:r>
      <w:r>
        <w:rPr>
          <w:rFonts w:hint="eastAsia" w:ascii="宋体" w:hAnsi="宋体"/>
          <w:color w:val="auto"/>
          <w:highlight w:val="none"/>
          <w:lang w:val="en-US" w:eastAsia="zh-CN"/>
        </w:rPr>
        <w:t>（</w:t>
      </w:r>
      <w:r>
        <w:rPr>
          <w:rFonts w:hint="eastAsia" w:ascii="宋体" w:hAnsi="宋体"/>
          <w:color w:val="auto"/>
          <w:highlight w:val="none"/>
        </w:rPr>
        <w:t>吉财预</w:t>
      </w:r>
      <w:r>
        <w:rPr>
          <w:rFonts w:hint="eastAsia" w:ascii="宋体" w:hAnsi="宋体"/>
          <w:color w:val="auto"/>
          <w:highlight w:val="none"/>
          <w:lang w:val="en-US" w:eastAsia="zh-CN"/>
        </w:rPr>
        <w:t>[</w:t>
      </w:r>
      <w:r>
        <w:rPr>
          <w:rFonts w:hint="eastAsia" w:ascii="宋体" w:hAnsi="宋体" w:eastAsiaTheme="minorEastAsia" w:cstheme="minorEastAsia"/>
          <w:color w:val="auto"/>
          <w:highlight w:val="none"/>
        </w:rPr>
        <w:t>2020</w:t>
      </w:r>
      <w:r>
        <w:rPr>
          <w:rFonts w:hint="eastAsia" w:ascii="宋体" w:hAnsi="宋体" w:eastAsiaTheme="minorEastAsia"/>
          <w:color w:val="auto"/>
          <w:highlight w:val="none"/>
          <w:lang w:val="en-US" w:eastAsia="zh-CN"/>
        </w:rPr>
        <w:t>]</w:t>
      </w:r>
      <w:r>
        <w:rPr>
          <w:rFonts w:hint="eastAsia" w:ascii="宋体" w:hAnsi="宋体" w:eastAsiaTheme="minorEastAsia" w:cstheme="minorEastAsia"/>
          <w:color w:val="auto"/>
          <w:highlight w:val="none"/>
        </w:rPr>
        <w:t>344</w:t>
      </w:r>
      <w:r>
        <w:rPr>
          <w:rFonts w:hint="eastAsia" w:ascii="宋体" w:hAnsi="宋体"/>
          <w:color w:val="auto"/>
          <w:highlight w:val="none"/>
        </w:rPr>
        <w:t>号</w:t>
      </w:r>
      <w:r>
        <w:rPr>
          <w:rFonts w:hint="eastAsia" w:ascii="宋体" w:hAnsi="宋体"/>
          <w:color w:val="auto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highlight w:val="none"/>
        </w:rPr>
        <w:t>的相关规定处理。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第十</w:t>
      </w:r>
      <w:r>
        <w:rPr>
          <w:rFonts w:hint="eastAsia" w:ascii="宋体" w:hAnsi="宋体"/>
          <w:color w:val="auto"/>
          <w:highlight w:val="none"/>
          <w:lang w:eastAsia="zh-CN"/>
        </w:rPr>
        <w:t>六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资金拨付应当按照财政国库集中支付制度有关规定执行。</w:t>
      </w:r>
    </w:p>
    <w:p>
      <w:pPr>
        <w:ind w:firstLine="640" w:firstLineChars="200"/>
        <w:rPr>
          <w:rFonts w:hint="eastAsia" w:ascii="宋体" w:hAnsi="宋体"/>
          <w:color w:val="auto"/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第六章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绩效管理</w:t>
      </w:r>
    </w:p>
    <w:p>
      <w:p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第十</w:t>
      </w:r>
      <w:r>
        <w:rPr>
          <w:rFonts w:hint="eastAsia" w:ascii="宋体" w:hAnsi="宋体"/>
          <w:color w:val="auto"/>
          <w:highlight w:val="none"/>
          <w:lang w:eastAsia="zh-CN"/>
        </w:rPr>
        <w:t>七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资金全面实行绩效管理，将绩效管理融入</w:t>
      </w:r>
      <w:r>
        <w:rPr>
          <w:rFonts w:hint="eastAsia" w:ascii="宋体" w:hAnsi="宋体"/>
          <w:color w:val="auto"/>
          <w:highlight w:val="none"/>
          <w:lang w:eastAsia="zh-CN"/>
        </w:rPr>
        <w:t>项目申报、完工验收、</w:t>
      </w:r>
      <w:r>
        <w:rPr>
          <w:rFonts w:hint="eastAsia" w:ascii="宋体" w:hAnsi="宋体"/>
          <w:color w:val="auto"/>
          <w:highlight w:val="none"/>
        </w:rPr>
        <w:t>预算编制</w:t>
      </w:r>
      <w:r>
        <w:rPr>
          <w:rFonts w:hint="eastAsia" w:ascii="宋体" w:hAnsi="宋体"/>
          <w:color w:val="auto"/>
          <w:highlight w:val="none"/>
          <w:lang w:eastAsia="zh-CN"/>
        </w:rPr>
        <w:t>等</w:t>
      </w:r>
      <w:r>
        <w:rPr>
          <w:rFonts w:hint="eastAsia" w:ascii="宋体" w:hAnsi="宋体"/>
          <w:color w:val="auto"/>
          <w:highlight w:val="none"/>
        </w:rPr>
        <w:t>过程。</w:t>
      </w:r>
    </w:p>
    <w:p>
      <w:pPr>
        <w:ind w:firstLine="640" w:firstLineChars="200"/>
        <w:jc w:val="left"/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</w:rPr>
        <w:t>第十</w:t>
      </w:r>
      <w:r>
        <w:rPr>
          <w:rFonts w:hint="eastAsia" w:ascii="宋体" w:hAnsi="宋体"/>
          <w:color w:val="auto"/>
          <w:highlight w:val="none"/>
          <w:lang w:eastAsia="zh-CN"/>
        </w:rPr>
        <w:t>八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省住房城乡建设厅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牵头印发的奖补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资金项目申报通知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宋体" w:hAnsi="宋体"/>
          <w:color w:val="auto"/>
          <w:highlight w:val="none"/>
          <w:lang w:val="en-US" w:eastAsia="zh-CN"/>
        </w:rPr>
        <w:t>，同步布置绩效目标申报工作。各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市县住建部门督促指导项目建设单位制定具体项目绩效目标，审核汇总后，随同项目资金申报其他材料，会同同级财政部门一并报送省级。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第十九条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省住房城乡建设厅</w:t>
      </w:r>
      <w:r>
        <w:rPr>
          <w:rFonts w:ascii="宋体" w:hAnsi="宋体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设定奖补资金整体绩效目标，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绩效目标实现程度进行监控，发现问题及时纠正，确保绩效目标如期完成。</w:t>
      </w:r>
      <w:r>
        <w:rPr>
          <w:rFonts w:hint="eastAsia" w:ascii="宋体" w:hAnsi="宋体"/>
          <w:color w:val="auto"/>
          <w:highlight w:val="none"/>
        </w:rPr>
        <w:t>市县住建部门要组织建设单位根据申报的绩效目标开展绩效</w:t>
      </w:r>
      <w:r>
        <w:rPr>
          <w:rFonts w:hint="eastAsia" w:ascii="宋体" w:hAnsi="宋体"/>
          <w:color w:val="auto"/>
          <w:highlight w:val="none"/>
          <w:lang w:eastAsia="zh-CN"/>
        </w:rPr>
        <w:t>自评</w:t>
      </w:r>
      <w:r>
        <w:rPr>
          <w:rFonts w:hint="eastAsia" w:ascii="宋体" w:hAnsi="宋体"/>
          <w:color w:val="auto"/>
          <w:highlight w:val="none"/>
        </w:rPr>
        <w:t>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形成本级项目绩效自评表和绩效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自评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报告，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经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同级财政部门审核后，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在省级组织项目评审时，随同其他评审要件一并报送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省住房城乡建设厅。</w:t>
      </w:r>
    </w:p>
    <w:p>
      <w:pPr>
        <w:ind w:firstLine="640" w:firstLineChars="20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第二十条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省住房城乡建设厅审核后，</w:t>
      </w:r>
      <w:r>
        <w:rPr>
          <w:rFonts w:hint="eastAsia" w:ascii="宋体" w:hAnsi="宋体"/>
          <w:color w:val="auto"/>
          <w:highlight w:val="none"/>
        </w:rPr>
        <w:t>会同省财政厅在专家评审环节同步组织开展绩效评价。</w:t>
      </w:r>
      <w:r>
        <w:rPr>
          <w:rFonts w:hint="eastAsia" w:ascii="宋体" w:hAnsi="宋体"/>
          <w:color w:val="auto"/>
          <w:highlight w:val="none"/>
          <w:lang w:eastAsia="zh-CN"/>
        </w:rPr>
        <w:t>评价后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汇总编制省级项目总体绩效评价报告，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由省住房城乡建设厅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以正式文件形式报送省财政厅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宋体" w:hAnsi="宋体"/>
          <w:color w:val="auto"/>
          <w:highlight w:val="none"/>
        </w:rPr>
        <w:t>省财政将评价结果与省级分配资金挂钩。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第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二十一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条  绩效评价结果采取评分和评级相结合的方式，等级划分为三档：85（含）-100分为优、60（含）-85分为良、60分以下为差。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第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二十二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条  评价结果为“优”的，按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标准上限给予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；结果为“良”的，按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标准75％比例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；评价结果为“差”的，取消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资格，不予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第七章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监督检查</w:t>
      </w:r>
    </w:p>
    <w:p>
      <w:p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</w:t>
      </w:r>
      <w:r>
        <w:rPr>
          <w:rFonts w:hint="eastAsia" w:ascii="宋体" w:hAnsi="宋体"/>
          <w:color w:val="auto"/>
          <w:highlight w:val="none"/>
          <w:lang w:eastAsia="zh-CN"/>
        </w:rPr>
        <w:t>二十三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建设单位</w:t>
      </w:r>
      <w:r>
        <w:rPr>
          <w:rFonts w:hint="eastAsia" w:ascii="宋体" w:hAnsi="宋体"/>
          <w:color w:val="auto"/>
          <w:highlight w:val="none"/>
        </w:rPr>
        <w:t>要自觉接受和配合审计监察等部门的监督检查</w:t>
      </w:r>
      <w:r>
        <w:rPr>
          <w:rFonts w:hint="eastAsia" w:ascii="宋体" w:hAnsi="宋体"/>
          <w:color w:val="auto"/>
          <w:highlight w:val="none"/>
          <w:lang w:eastAsia="zh-CN"/>
        </w:rPr>
        <w:t>，并按要求落实整改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highlight w:val="none"/>
        </w:rPr>
        <w:t>第二十</w:t>
      </w:r>
      <w:r>
        <w:rPr>
          <w:rFonts w:hint="eastAsia" w:ascii="宋体" w:hAnsi="宋体"/>
          <w:color w:val="auto"/>
          <w:highlight w:val="none"/>
          <w:lang w:eastAsia="zh-CN"/>
        </w:rPr>
        <w:t>四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对利用虚假材料，虚构或夸大项目规模骗取资金的单位和个人，省住房城乡建设厅一经核实后，将处理意见报省财政厅，省财政厅收回该项目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奖补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资金</w:t>
      </w:r>
      <w:r>
        <w:rPr>
          <w:rFonts w:hint="eastAsia" w:ascii="宋体" w:hAnsi="宋体"/>
          <w:color w:val="auto"/>
          <w:kern w:val="2"/>
          <w:sz w:val="32"/>
          <w:szCs w:val="32"/>
          <w:highlight w:val="none"/>
          <w:lang w:val="en-US" w:eastAsia="zh-CN" w:bidi="ar-SA"/>
        </w:rPr>
        <w:t>，并取消当地下年度申报本专项资金资格</w:t>
      </w:r>
      <w:r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40" w:firstLineChars="200"/>
        <w:jc w:val="left"/>
        <w:rPr>
          <w:rFonts w:hint="eastAsia" w:ascii="宋体" w:hAnsi="宋体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第八章  </w:t>
      </w:r>
      <w:r>
        <w:rPr>
          <w:rFonts w:hint="eastAsia" w:ascii="宋体" w:hAnsi="宋体"/>
          <w:color w:val="auto"/>
          <w:highlight w:val="none"/>
        </w:rPr>
        <w:t>附则</w:t>
      </w:r>
    </w:p>
    <w:p>
      <w:p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第二十</w:t>
      </w:r>
      <w:r>
        <w:rPr>
          <w:rFonts w:hint="eastAsia" w:ascii="宋体" w:hAnsi="宋体"/>
          <w:color w:val="auto"/>
          <w:highlight w:val="none"/>
          <w:lang w:eastAsia="zh-CN"/>
        </w:rPr>
        <w:t>五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本办法由省财政厅、</w:t>
      </w:r>
      <w:r>
        <w:rPr>
          <w:rFonts w:hint="eastAsia" w:ascii="宋体" w:hAnsi="宋体"/>
          <w:color w:val="auto"/>
          <w:highlight w:val="none"/>
          <w:lang w:eastAsia="zh-CN"/>
        </w:rPr>
        <w:t>省住房城乡建设厅</w:t>
      </w:r>
      <w:r>
        <w:rPr>
          <w:rFonts w:hint="eastAsia" w:ascii="宋体" w:hAnsi="宋体"/>
          <w:color w:val="auto"/>
          <w:highlight w:val="none"/>
        </w:rPr>
        <w:t>负责解释。</w:t>
      </w:r>
    </w:p>
    <w:p>
      <w:pPr>
        <w:ind w:firstLine="64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第二十</w:t>
      </w:r>
      <w:r>
        <w:rPr>
          <w:rFonts w:hint="eastAsia" w:ascii="宋体" w:hAnsi="宋体"/>
          <w:color w:val="auto"/>
          <w:highlight w:val="none"/>
          <w:lang w:eastAsia="zh-CN"/>
        </w:rPr>
        <w:t>六</w:t>
      </w:r>
      <w:r>
        <w:rPr>
          <w:rFonts w:hint="eastAsia" w:ascii="宋体" w:hAnsi="宋体"/>
          <w:color w:val="auto"/>
          <w:highlight w:val="none"/>
        </w:rPr>
        <w:t>条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本办法自印发之日起执行，执行期限为202</w:t>
      </w:r>
      <w:r>
        <w:rPr>
          <w:rFonts w:hint="eastAsia" w:ascii="宋体" w:hAnsi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highlight w:val="none"/>
        </w:rPr>
        <w:t>年-2023年</w:t>
      </w:r>
      <w:r>
        <w:rPr>
          <w:rFonts w:hint="eastAsia" w:ascii="宋体" w:hAnsi="宋体"/>
          <w:color w:val="auto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highlight w:val="none"/>
        </w:rPr>
        <w:t>《吉林省城市基础设施建设</w:t>
      </w:r>
      <w:r>
        <w:rPr>
          <w:rFonts w:hint="eastAsia" w:ascii="宋体" w:hAnsi="宋体"/>
          <w:color w:val="auto"/>
          <w:highlight w:val="none"/>
          <w:lang w:eastAsia="zh-CN"/>
        </w:rPr>
        <w:t>奖补</w:t>
      </w:r>
      <w:r>
        <w:rPr>
          <w:rFonts w:hint="eastAsia" w:ascii="宋体" w:hAnsi="宋体"/>
          <w:color w:val="auto"/>
          <w:highlight w:val="none"/>
        </w:rPr>
        <w:t>资金管理办法》（吉财建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[201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6</w:t>
      </w:r>
      <w:r>
        <w:rPr>
          <w:rFonts w:ascii="宋体" w:hAnsi="宋体"/>
          <w:color w:val="auto"/>
          <w:kern w:val="0"/>
          <w:highlight w:val="none"/>
          <w:shd w:val="clear" w:color="auto" w:fill="FFFFFF"/>
        </w:rPr>
        <w:t>]</w:t>
      </w:r>
      <w:r>
        <w:rPr>
          <w:rFonts w:hint="eastAsia" w:ascii="宋体" w:hAnsi="宋体"/>
          <w:color w:val="auto"/>
          <w:kern w:val="0"/>
          <w:highlight w:val="none"/>
          <w:shd w:val="clear" w:color="auto" w:fill="FFFFFF"/>
        </w:rPr>
        <w:t>476</w:t>
      </w:r>
      <w:r>
        <w:rPr>
          <w:rFonts w:hint="eastAsia" w:ascii="宋体" w:hAnsi="宋体"/>
          <w:color w:val="auto"/>
          <w:highlight w:val="none"/>
        </w:rPr>
        <w:t>号）同时废止。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CZBGtx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WQwNDI2ZTY2NTUwMmI5ZWM3YjE1MzQ1ZjVhZDIifQ=="/>
  </w:docVars>
  <w:rsids>
    <w:rsidRoot w:val="004877A1"/>
    <w:rsid w:val="004877A1"/>
    <w:rsid w:val="004D1DEF"/>
    <w:rsid w:val="005B4D70"/>
    <w:rsid w:val="00A068E0"/>
    <w:rsid w:val="012340FB"/>
    <w:rsid w:val="014F646C"/>
    <w:rsid w:val="01A60A26"/>
    <w:rsid w:val="01C77411"/>
    <w:rsid w:val="02053B14"/>
    <w:rsid w:val="0234420D"/>
    <w:rsid w:val="02F94865"/>
    <w:rsid w:val="03155350"/>
    <w:rsid w:val="036A1510"/>
    <w:rsid w:val="03EF6F40"/>
    <w:rsid w:val="04053287"/>
    <w:rsid w:val="04EE1216"/>
    <w:rsid w:val="052D298F"/>
    <w:rsid w:val="06124F2D"/>
    <w:rsid w:val="06435143"/>
    <w:rsid w:val="07523311"/>
    <w:rsid w:val="07A9425F"/>
    <w:rsid w:val="07E40262"/>
    <w:rsid w:val="09B91D6C"/>
    <w:rsid w:val="09E462EF"/>
    <w:rsid w:val="0A1568D2"/>
    <w:rsid w:val="0A882A83"/>
    <w:rsid w:val="0AD656DD"/>
    <w:rsid w:val="0AF55428"/>
    <w:rsid w:val="0BA24583"/>
    <w:rsid w:val="0C6C1DB2"/>
    <w:rsid w:val="0C77763E"/>
    <w:rsid w:val="0D4440C7"/>
    <w:rsid w:val="0D4D07CA"/>
    <w:rsid w:val="0DA41F54"/>
    <w:rsid w:val="0DB4307B"/>
    <w:rsid w:val="0DC566F3"/>
    <w:rsid w:val="0DEF26AA"/>
    <w:rsid w:val="0EBF4D21"/>
    <w:rsid w:val="0F0A591F"/>
    <w:rsid w:val="0FBF4E6B"/>
    <w:rsid w:val="110B4493"/>
    <w:rsid w:val="11DD1AC3"/>
    <w:rsid w:val="12483377"/>
    <w:rsid w:val="13054DB2"/>
    <w:rsid w:val="14094369"/>
    <w:rsid w:val="14144162"/>
    <w:rsid w:val="14F56C9E"/>
    <w:rsid w:val="15953C1D"/>
    <w:rsid w:val="15A94CA7"/>
    <w:rsid w:val="15D31197"/>
    <w:rsid w:val="15DB6910"/>
    <w:rsid w:val="176321FB"/>
    <w:rsid w:val="187D2E60"/>
    <w:rsid w:val="18CB43A7"/>
    <w:rsid w:val="18F64970"/>
    <w:rsid w:val="19060704"/>
    <w:rsid w:val="19645D82"/>
    <w:rsid w:val="1993514E"/>
    <w:rsid w:val="19DF7BA4"/>
    <w:rsid w:val="1C9C1F3E"/>
    <w:rsid w:val="1CBA3BC4"/>
    <w:rsid w:val="1D126FAA"/>
    <w:rsid w:val="1E5B61CE"/>
    <w:rsid w:val="1F4760A9"/>
    <w:rsid w:val="1F933FE8"/>
    <w:rsid w:val="1FF266BE"/>
    <w:rsid w:val="20CB30EA"/>
    <w:rsid w:val="21132D8F"/>
    <w:rsid w:val="226D64CF"/>
    <w:rsid w:val="22916BE8"/>
    <w:rsid w:val="232F38F5"/>
    <w:rsid w:val="23387A33"/>
    <w:rsid w:val="23763622"/>
    <w:rsid w:val="24A5732C"/>
    <w:rsid w:val="270278DB"/>
    <w:rsid w:val="28497F8E"/>
    <w:rsid w:val="28F777D7"/>
    <w:rsid w:val="29226DC7"/>
    <w:rsid w:val="29C36D8A"/>
    <w:rsid w:val="2A865931"/>
    <w:rsid w:val="2AF16254"/>
    <w:rsid w:val="2B1D742A"/>
    <w:rsid w:val="2B44674E"/>
    <w:rsid w:val="2B4F3FF6"/>
    <w:rsid w:val="2C562339"/>
    <w:rsid w:val="2C775590"/>
    <w:rsid w:val="2DD93C1A"/>
    <w:rsid w:val="2EBE6CCD"/>
    <w:rsid w:val="3014412B"/>
    <w:rsid w:val="30503136"/>
    <w:rsid w:val="30743802"/>
    <w:rsid w:val="311670E1"/>
    <w:rsid w:val="327A59C6"/>
    <w:rsid w:val="33742B5B"/>
    <w:rsid w:val="33CF069D"/>
    <w:rsid w:val="33FEE0FC"/>
    <w:rsid w:val="34235972"/>
    <w:rsid w:val="351A7ACF"/>
    <w:rsid w:val="35E12990"/>
    <w:rsid w:val="35F55D41"/>
    <w:rsid w:val="36497DB7"/>
    <w:rsid w:val="36971769"/>
    <w:rsid w:val="38B17A35"/>
    <w:rsid w:val="39886197"/>
    <w:rsid w:val="3A7831D4"/>
    <w:rsid w:val="3B3721EE"/>
    <w:rsid w:val="3B5556FF"/>
    <w:rsid w:val="3B8E32E7"/>
    <w:rsid w:val="3BD97208"/>
    <w:rsid w:val="3C130D0B"/>
    <w:rsid w:val="3C171C5D"/>
    <w:rsid w:val="3C1E151F"/>
    <w:rsid w:val="3D8A3F82"/>
    <w:rsid w:val="3E364A7E"/>
    <w:rsid w:val="3F140518"/>
    <w:rsid w:val="3F1A095C"/>
    <w:rsid w:val="3F6A7C82"/>
    <w:rsid w:val="3FAE02DD"/>
    <w:rsid w:val="40022D7F"/>
    <w:rsid w:val="42246753"/>
    <w:rsid w:val="42454C69"/>
    <w:rsid w:val="42C22612"/>
    <w:rsid w:val="434E6EDC"/>
    <w:rsid w:val="43786F46"/>
    <w:rsid w:val="448456D6"/>
    <w:rsid w:val="44EF7769"/>
    <w:rsid w:val="458656A4"/>
    <w:rsid w:val="45A42F96"/>
    <w:rsid w:val="45E56987"/>
    <w:rsid w:val="45F9018F"/>
    <w:rsid w:val="46B668F3"/>
    <w:rsid w:val="480F2132"/>
    <w:rsid w:val="481F2921"/>
    <w:rsid w:val="48580F04"/>
    <w:rsid w:val="48A525AC"/>
    <w:rsid w:val="4A12083E"/>
    <w:rsid w:val="4A480C75"/>
    <w:rsid w:val="4A525942"/>
    <w:rsid w:val="4AF759BE"/>
    <w:rsid w:val="4B134DF2"/>
    <w:rsid w:val="4B7958E7"/>
    <w:rsid w:val="4B886BAC"/>
    <w:rsid w:val="4C0A2F9A"/>
    <w:rsid w:val="4C562EA9"/>
    <w:rsid w:val="4C595468"/>
    <w:rsid w:val="4DCE1C69"/>
    <w:rsid w:val="4E2F16FF"/>
    <w:rsid w:val="4E513DD3"/>
    <w:rsid w:val="4EB24178"/>
    <w:rsid w:val="4EB81B5E"/>
    <w:rsid w:val="4ED00ACF"/>
    <w:rsid w:val="4F7C543E"/>
    <w:rsid w:val="4FA17FB7"/>
    <w:rsid w:val="50F92A4E"/>
    <w:rsid w:val="51363DAD"/>
    <w:rsid w:val="5176064D"/>
    <w:rsid w:val="51FA302C"/>
    <w:rsid w:val="51FF6894"/>
    <w:rsid w:val="52553216"/>
    <w:rsid w:val="531A2C09"/>
    <w:rsid w:val="53A66A42"/>
    <w:rsid w:val="545B205D"/>
    <w:rsid w:val="54E316A4"/>
    <w:rsid w:val="55163B09"/>
    <w:rsid w:val="55E95895"/>
    <w:rsid w:val="562F1D44"/>
    <w:rsid w:val="578A51DD"/>
    <w:rsid w:val="578F6321"/>
    <w:rsid w:val="587D0889"/>
    <w:rsid w:val="58A93463"/>
    <w:rsid w:val="591547CA"/>
    <w:rsid w:val="59A34A9F"/>
    <w:rsid w:val="5A2A7521"/>
    <w:rsid w:val="5A5F7707"/>
    <w:rsid w:val="5A810A8C"/>
    <w:rsid w:val="5A8B6E1B"/>
    <w:rsid w:val="5B5F03AF"/>
    <w:rsid w:val="5BA468A3"/>
    <w:rsid w:val="5C20466E"/>
    <w:rsid w:val="5C3C3580"/>
    <w:rsid w:val="5CB50D6F"/>
    <w:rsid w:val="5CC16E3F"/>
    <w:rsid w:val="5D4C0163"/>
    <w:rsid w:val="5D5E6B65"/>
    <w:rsid w:val="5DA363A7"/>
    <w:rsid w:val="5EEF8287"/>
    <w:rsid w:val="5F5F4774"/>
    <w:rsid w:val="5F8239E6"/>
    <w:rsid w:val="5FFBCEE1"/>
    <w:rsid w:val="603839E7"/>
    <w:rsid w:val="603A3E4E"/>
    <w:rsid w:val="605B5B9A"/>
    <w:rsid w:val="60765FCC"/>
    <w:rsid w:val="60A058E5"/>
    <w:rsid w:val="615715E3"/>
    <w:rsid w:val="615C52FD"/>
    <w:rsid w:val="6201321B"/>
    <w:rsid w:val="6243457B"/>
    <w:rsid w:val="62510907"/>
    <w:rsid w:val="62DB47B4"/>
    <w:rsid w:val="63B119B8"/>
    <w:rsid w:val="63FD65A8"/>
    <w:rsid w:val="64B9757B"/>
    <w:rsid w:val="64F60E33"/>
    <w:rsid w:val="652163D2"/>
    <w:rsid w:val="655B1E1D"/>
    <w:rsid w:val="656B0071"/>
    <w:rsid w:val="65E8047D"/>
    <w:rsid w:val="661C70FC"/>
    <w:rsid w:val="670172B8"/>
    <w:rsid w:val="670545B3"/>
    <w:rsid w:val="67421E7C"/>
    <w:rsid w:val="67443E67"/>
    <w:rsid w:val="682D274F"/>
    <w:rsid w:val="68B225E9"/>
    <w:rsid w:val="6944329B"/>
    <w:rsid w:val="6A0C72B1"/>
    <w:rsid w:val="6A470981"/>
    <w:rsid w:val="6AF626CB"/>
    <w:rsid w:val="6B607F4C"/>
    <w:rsid w:val="6B7B3C45"/>
    <w:rsid w:val="6B9470A6"/>
    <w:rsid w:val="6BF46E7C"/>
    <w:rsid w:val="6C8B3EB7"/>
    <w:rsid w:val="6D784AB5"/>
    <w:rsid w:val="6DA86443"/>
    <w:rsid w:val="6E003712"/>
    <w:rsid w:val="6EA4063A"/>
    <w:rsid w:val="6EB505AF"/>
    <w:rsid w:val="6ED73133"/>
    <w:rsid w:val="70981F36"/>
    <w:rsid w:val="70E71E42"/>
    <w:rsid w:val="71642196"/>
    <w:rsid w:val="721A0164"/>
    <w:rsid w:val="728F43DC"/>
    <w:rsid w:val="729E1E1C"/>
    <w:rsid w:val="7326319A"/>
    <w:rsid w:val="73626FF5"/>
    <w:rsid w:val="73A56631"/>
    <w:rsid w:val="74485141"/>
    <w:rsid w:val="76FD1C6C"/>
    <w:rsid w:val="77AB0987"/>
    <w:rsid w:val="782F3FF6"/>
    <w:rsid w:val="78E7627C"/>
    <w:rsid w:val="7917735F"/>
    <w:rsid w:val="79F53F55"/>
    <w:rsid w:val="7B064E34"/>
    <w:rsid w:val="7B1B5AA6"/>
    <w:rsid w:val="7BE5425A"/>
    <w:rsid w:val="7C642284"/>
    <w:rsid w:val="7CDC4A73"/>
    <w:rsid w:val="7D160490"/>
    <w:rsid w:val="7D92FFE5"/>
    <w:rsid w:val="7E7FEF33"/>
    <w:rsid w:val="7F78365F"/>
    <w:rsid w:val="8ABF7C60"/>
    <w:rsid w:val="BEFDA2BF"/>
    <w:rsid w:val="BFBFAE93"/>
    <w:rsid w:val="DFFF2D84"/>
    <w:rsid w:val="F13A8028"/>
    <w:rsid w:val="F7BFE233"/>
    <w:rsid w:val="FEA33F08"/>
    <w:rsid w:val="FF4FC7CB"/>
    <w:rsid w:val="FFDF5C59"/>
    <w:rsid w:val="FFF77B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0000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000000"/>
      <w:sz w:val="18"/>
      <w:szCs w:val="18"/>
      <w:u w:val="none"/>
    </w:rPr>
  </w:style>
  <w:style w:type="character" w:customStyle="1" w:styleId="10">
    <w:name w:val="批注文字 Char"/>
    <w:basedOn w:val="6"/>
    <w:link w:val="2"/>
    <w:qFormat/>
    <w:uiPriority w:val="0"/>
    <w:rPr>
      <w:rFonts w:eastAsia="仿宋_GB2312" w:cs="仿宋_GB2312"/>
      <w:kern w:val="2"/>
      <w:sz w:val="32"/>
      <w:szCs w:val="32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2486</Words>
  <Characters>2544</Characters>
  <Lines>19</Lines>
  <Paragraphs>5</Paragraphs>
  <ScaleCrop>false</ScaleCrop>
  <LinksUpToDate>false</LinksUpToDate>
  <CharactersWithSpaces>2615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2021-05-28T02:49:00Z</dcterms:created>
  <dc:creator>BLUE</dc:creator>
  <cp:lastModifiedBy>吴然</cp:lastModifiedBy>
  <cp:lastPrinted>2022-07-11T08:07:00Z</cp:lastPrinted>
  <dcterms:modified xsi:type="dcterms:W3CDTF">2022-10-31T03:05:09Z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08A2099371E243048CA72257B4576B18</vt:lpwstr>
  </property>
</Properties>
</file>