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D6" w:rsidRDefault="00DB54D6" w:rsidP="00DB54D6">
      <w:pPr>
        <w:snapToGrid w:val="0"/>
        <w:spacing w:line="264" w:lineRule="auto"/>
        <w:rPr>
          <w:rFonts w:ascii="黑体" w:eastAsia="黑体" w:hAnsi="黑体" w:cs="黑体"/>
          <w:bCs/>
          <w:sz w:val="32"/>
          <w:szCs w:val="32"/>
        </w:rPr>
      </w:pPr>
      <w:r>
        <w:rPr>
          <w:rFonts w:ascii="黑体" w:eastAsia="黑体" w:hAnsi="黑体" w:cs="黑体" w:hint="eastAsia"/>
          <w:bCs/>
          <w:sz w:val="32"/>
          <w:szCs w:val="32"/>
        </w:rPr>
        <w:t>附件2</w:t>
      </w:r>
    </w:p>
    <w:p w:rsidR="00DB54D6" w:rsidRPr="00412757" w:rsidRDefault="00DB54D6" w:rsidP="00DB54D6">
      <w:pPr>
        <w:snapToGrid w:val="0"/>
        <w:spacing w:line="264" w:lineRule="auto"/>
        <w:rPr>
          <w:rFonts w:ascii="黑体" w:eastAsia="黑体" w:hAnsi="黑体" w:cs="黑体"/>
          <w:bCs/>
          <w:sz w:val="32"/>
          <w:szCs w:val="32"/>
        </w:rPr>
      </w:pPr>
    </w:p>
    <w:p w:rsidR="00DB54D6" w:rsidRDefault="00DB54D6" w:rsidP="00DB54D6">
      <w:pPr>
        <w:snapToGrid w:val="0"/>
        <w:spacing w:line="264" w:lineRule="auto"/>
        <w:jc w:val="center"/>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吉林省城镇开发边界局部优化方案报告</w:t>
      </w:r>
    </w:p>
    <w:p w:rsidR="00DB54D6" w:rsidRDefault="00DB54D6" w:rsidP="00DB54D6">
      <w:pPr>
        <w:snapToGrid w:val="0"/>
        <w:spacing w:line="264" w:lineRule="auto"/>
        <w:jc w:val="center"/>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编制框架</w:t>
      </w:r>
    </w:p>
    <w:p w:rsidR="00DB54D6" w:rsidRDefault="00DB54D6" w:rsidP="00DB54D6">
      <w:pPr>
        <w:pStyle w:val="a4"/>
      </w:pPr>
    </w:p>
    <w:p w:rsidR="00DB54D6" w:rsidRPr="00412757" w:rsidRDefault="00DB54D6" w:rsidP="00DB54D6">
      <w:pPr>
        <w:snapToGrid w:val="0"/>
        <w:spacing w:line="341" w:lineRule="auto"/>
        <w:ind w:firstLineChars="200" w:firstLine="640"/>
        <w:rPr>
          <w:rFonts w:ascii="黑体" w:eastAsia="黑体" w:hAnsi="黑体"/>
          <w:sz w:val="32"/>
          <w:szCs w:val="32"/>
        </w:rPr>
      </w:pPr>
      <w:r w:rsidRPr="00412757">
        <w:rPr>
          <w:rFonts w:ascii="黑体" w:eastAsia="黑体" w:hAnsi="黑体" w:hint="eastAsia"/>
          <w:sz w:val="32"/>
          <w:szCs w:val="32"/>
        </w:rPr>
        <w:t>一、报告名称</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XX县（市、区）城镇开发边界局部优化方案报告</w:t>
      </w:r>
    </w:p>
    <w:p w:rsidR="00DB54D6" w:rsidRPr="00412757" w:rsidRDefault="00DB54D6" w:rsidP="00DB54D6">
      <w:pPr>
        <w:snapToGrid w:val="0"/>
        <w:spacing w:line="341" w:lineRule="auto"/>
        <w:ind w:firstLineChars="200" w:firstLine="640"/>
        <w:rPr>
          <w:rFonts w:ascii="黑体" w:eastAsia="黑体" w:hAnsi="黑体"/>
          <w:sz w:val="32"/>
          <w:szCs w:val="32"/>
        </w:rPr>
      </w:pPr>
      <w:r w:rsidRPr="00412757">
        <w:rPr>
          <w:rFonts w:ascii="黑体" w:eastAsia="黑体" w:hAnsi="黑体" w:hint="eastAsia"/>
          <w:sz w:val="32"/>
          <w:szCs w:val="32"/>
        </w:rPr>
        <w:t>二、报告主要内容</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（一）前言</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简述工作背景，包括工作组织、工作过程等。</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（二）基本情况</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1.现行城镇开发边界划定情况。经批准的城镇开发边界规模、扩展倍数、分区构成、总体空间布局等基本情况。</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2.现行城镇开发边界实施情况。分析城镇开发边界内用地情况；城镇开发边界内新增城镇建设用地年度使用情况及剩余规模等。</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3.本次优化的基本情况。目前城镇开发边界实施存在问题、原因分析、是否涉及在市（州）域范围内统筹优化、是否涉及规划强制性内容调整等。</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（三）城镇开发边界局部优化必要性</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阐明开展城镇开发边界局部优化工作的必要性，优化符合哪一种情形。</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（四）城镇开发边界优化方案</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lastRenderedPageBreak/>
        <w:t>1.总体情况。城镇开发边界规模、扩展倍数</w:t>
      </w:r>
      <w:r w:rsidRPr="00412757">
        <w:rPr>
          <w:rFonts w:ascii="仿宋_GB2312" w:eastAsia="仿宋_GB2312" w:hint="eastAsia"/>
          <w:sz w:val="32"/>
          <w:szCs w:val="32"/>
        </w:rPr>
        <w:footnoteReference w:id="2"/>
      </w:r>
      <w:r w:rsidRPr="00412757">
        <w:rPr>
          <w:rFonts w:ascii="仿宋_GB2312" w:eastAsia="仿宋_GB2312" w:hint="eastAsia"/>
          <w:sz w:val="32"/>
          <w:szCs w:val="32"/>
        </w:rPr>
        <w:t>、优化规模占新增城镇空间的比例、分区构成、总体空间布局等情况。</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2.具体情况。调入用地、调出用地的位置、面积、权属、地类、土地利用等情况（可附表），强制性内容调整类型，调出地块是否位于已批准成片开发方案内，是否为批准且完成备案的建设用地，是否位于经批准的综合类加工开发区，优化后城镇开发边界各类用地面积和比例对比情况。</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（五）城镇开发边界优化方案评估</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1.优化方案对现行国土空间总体规划的影响分析。优化后与现行规划相关要求一致性分析；城镇开发边界总规模是否增加，城镇开发边界中现状城镇建设用地是否减少，城镇开发边界中增量空间是否增加，在自然资源部监管系统备案已依法批准且落实占补平衡即将建设的用地是否减少；是否与土地征收成片开发方案、全域土地综合整治项目充分衔接；调入和调出用地开发利用方向、优化方案是否符合国土空间总体规划管控要求；强制性内容调整的合理性分析；对周边规划建设情况、公共服务、交通、市政配套级合理性覆盖情况；优化方案对城市空间结构、详细规划编制单元分区等影响分析。</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2.优化方案与“三区三线”划定规则的符合性分析。是否落实三条控制线划定的优先序，避让永久基本农田、生态保护红线，</w:t>
      </w:r>
      <w:r w:rsidRPr="00412757">
        <w:rPr>
          <w:rFonts w:ascii="仿宋_GB2312" w:eastAsia="仿宋_GB2312" w:hint="eastAsia"/>
          <w:sz w:val="32"/>
          <w:szCs w:val="32"/>
        </w:rPr>
        <w:lastRenderedPageBreak/>
        <w:t>充分衔接永久基本农田核实处置工作；是否充分考虑各类限制性因素，守住自然生态安全边界，避让不适宜城镇建设的区域，避让大遗址保护和地下文物埋藏区；是否有利于提高城镇开发边界形态的完整性，推动城镇建设用地集约集聚。</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（六）结论</w:t>
      </w:r>
    </w:p>
    <w:p w:rsidR="00DB54D6" w:rsidRPr="00412757" w:rsidRDefault="00DB54D6" w:rsidP="00DB54D6">
      <w:pPr>
        <w:snapToGrid w:val="0"/>
        <w:spacing w:line="341" w:lineRule="auto"/>
        <w:ind w:firstLineChars="200" w:firstLine="640"/>
        <w:rPr>
          <w:rFonts w:ascii="楷体_GB2312" w:eastAsia="楷体_GB2312"/>
          <w:sz w:val="32"/>
          <w:szCs w:val="32"/>
        </w:rPr>
      </w:pPr>
      <w:r w:rsidRPr="00412757">
        <w:rPr>
          <w:rFonts w:ascii="楷体_GB2312" w:eastAsia="楷体_GB2312" w:hint="eastAsia"/>
          <w:sz w:val="32"/>
          <w:szCs w:val="32"/>
        </w:rPr>
        <w:t>（七）附图及附件</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图1、现行城镇开发边界划定图；</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图2、优化后城镇开发边界划定图；</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图3、调出地块、调入地块位置示意图；</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图4、调出地块用地现状图（当年变更调查成果）；</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图5、调入地块用地现状图（当年变更调查成果）；</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图6、调出地块用地规划改变比较图（原国土空间规划中土地利用规划图与修改后土地利用规划进行比较）；</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 xml:space="preserve">图7、调入地块用地规划改变比较图（原国土空间规划中土地利用规划图与修改后土地利用规划进行比较）。 </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上述7图为必选图件，各地可根据实际情况补充相应图件及其他证明合理性的相关图件。</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附图原则上采用A3幅面制图（A4装订），图斑表达清楚，太过分散的可以分幅表达，并将主要支撑文件的有关内容扫描附后。</w:t>
      </w:r>
    </w:p>
    <w:p w:rsidR="00DB54D6" w:rsidRPr="00412757" w:rsidRDefault="00DB54D6" w:rsidP="00DB54D6">
      <w:pPr>
        <w:snapToGrid w:val="0"/>
        <w:spacing w:line="341" w:lineRule="auto"/>
        <w:ind w:firstLineChars="200" w:firstLine="640"/>
        <w:rPr>
          <w:rFonts w:ascii="黑体" w:eastAsia="黑体" w:hAnsi="黑体"/>
          <w:sz w:val="32"/>
          <w:szCs w:val="32"/>
        </w:rPr>
      </w:pPr>
      <w:r w:rsidRPr="00412757">
        <w:rPr>
          <w:rFonts w:ascii="黑体" w:eastAsia="黑体" w:hAnsi="黑体" w:hint="eastAsia"/>
          <w:sz w:val="32"/>
          <w:szCs w:val="32"/>
        </w:rPr>
        <w:t>三、报告排版要求</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报告封面题目采用初号方正小标宋体，落款采用三号黑体；报告正文应采用三号仿宋_GB2312字体撰写，一级标题采用三号黑体，二级标题采用三号楷体，三级标题采用三号仿宋_GB2312</w:t>
      </w:r>
      <w:r w:rsidRPr="00412757">
        <w:rPr>
          <w:rFonts w:ascii="仿宋_GB2312" w:eastAsia="仿宋_GB2312" w:hint="eastAsia"/>
          <w:sz w:val="32"/>
          <w:szCs w:val="32"/>
        </w:rPr>
        <w:lastRenderedPageBreak/>
        <w:t>体加粗。</w:t>
      </w:r>
    </w:p>
    <w:p w:rsidR="00DB54D6" w:rsidRPr="00412757" w:rsidRDefault="00DB54D6" w:rsidP="00DB54D6">
      <w:pPr>
        <w:snapToGrid w:val="0"/>
        <w:spacing w:line="341" w:lineRule="auto"/>
        <w:ind w:firstLineChars="200" w:firstLine="640"/>
        <w:rPr>
          <w:rFonts w:ascii="仿宋_GB2312" w:eastAsia="仿宋_GB2312"/>
          <w:sz w:val="32"/>
          <w:szCs w:val="32"/>
        </w:rPr>
      </w:pPr>
      <w:r w:rsidRPr="00412757">
        <w:rPr>
          <w:rFonts w:ascii="仿宋_GB2312" w:eastAsia="仿宋_GB2312" w:hint="eastAsia"/>
          <w:sz w:val="32"/>
          <w:szCs w:val="32"/>
        </w:rPr>
        <w:t>报告应采用A4幅面，双面打印，竖版胶装，扉页应写明县（市、区）局、编制技术单位基本信息，附图和附件附于正文后。</w:t>
      </w:r>
    </w:p>
    <w:p w:rsidR="00DB54D6" w:rsidRPr="008D050E" w:rsidRDefault="00DB54D6" w:rsidP="00DB54D6">
      <w:pPr>
        <w:snapToGrid w:val="0"/>
        <w:spacing w:line="24" w:lineRule="auto"/>
        <w:rPr>
          <w:rFonts w:ascii="仿宋_GB2312" w:eastAsia="仿宋_GB2312"/>
          <w:sz w:val="32"/>
          <w:szCs w:val="32"/>
        </w:rPr>
      </w:pPr>
    </w:p>
    <w:p w:rsidR="00CD25DB" w:rsidRDefault="00CD25DB">
      <w:bookmarkStart w:id="0" w:name="_GoBack"/>
      <w:bookmarkEnd w:id="0"/>
    </w:p>
    <w:sectPr w:rsidR="00CD25DB" w:rsidSect="00AE7604">
      <w:footerReference w:type="even" r:id="rId6"/>
      <w:footerReference w:type="default" r:id="rId7"/>
      <w:pgSz w:w="11906" w:h="16838"/>
      <w:pgMar w:top="1418" w:right="1531" w:bottom="1418"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BFA" w:rsidRDefault="007B4BFA" w:rsidP="00DB54D6">
      <w:r>
        <w:separator/>
      </w:r>
    </w:p>
  </w:endnote>
  <w:endnote w:type="continuationSeparator" w:id="1">
    <w:p w:rsidR="007B4BFA" w:rsidRDefault="007B4BFA" w:rsidP="00DB5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ESI仿宋-GB2312">
    <w:altName w:val="Microsoft YaHei UI"/>
    <w:charset w:val="86"/>
    <w:family w:val="auto"/>
    <w:pitch w:val="default"/>
    <w:sig w:usb0="00000000" w:usb1="084F6CF8" w:usb2="00000010"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8D" w:rsidRPr="0030789F" w:rsidRDefault="00C50D77">
    <w:pPr>
      <w:pStyle w:val="a3"/>
      <w:rPr>
        <w:rFonts w:ascii="宋体" w:hAnsi="宋体"/>
        <w:sz w:val="28"/>
        <w:szCs w:val="28"/>
      </w:rPr>
    </w:pPr>
    <w:r w:rsidRPr="0030789F">
      <w:rPr>
        <w:rFonts w:ascii="宋体" w:hAnsi="宋体" w:hint="eastAsia"/>
        <w:sz w:val="28"/>
        <w:szCs w:val="28"/>
      </w:rPr>
      <w:fldChar w:fldCharType="begin"/>
    </w:r>
    <w:r w:rsidR="00ED03A7" w:rsidRPr="0030789F">
      <w:rPr>
        <w:rFonts w:ascii="宋体" w:hAnsi="宋体" w:hint="eastAsia"/>
        <w:sz w:val="28"/>
        <w:szCs w:val="28"/>
      </w:rPr>
      <w:instrText>PAGE   \* MERGEFORMAT</w:instrText>
    </w:r>
    <w:r w:rsidRPr="0030789F">
      <w:rPr>
        <w:rFonts w:ascii="宋体" w:hAnsi="宋体" w:hint="eastAsia"/>
        <w:sz w:val="28"/>
        <w:szCs w:val="28"/>
      </w:rPr>
      <w:fldChar w:fldCharType="separate"/>
    </w:r>
    <w:r w:rsidR="00ED03A7" w:rsidRPr="00E05798">
      <w:rPr>
        <w:rFonts w:ascii="宋体" w:hAnsi="宋体"/>
        <w:noProof/>
        <w:sz w:val="28"/>
        <w:szCs w:val="28"/>
        <w:lang w:val="zh-CN"/>
      </w:rPr>
      <w:t>-</w:t>
    </w:r>
    <w:r w:rsidR="00ED03A7">
      <w:rPr>
        <w:rFonts w:ascii="宋体" w:hAnsi="宋体"/>
        <w:noProof/>
        <w:sz w:val="28"/>
        <w:szCs w:val="28"/>
      </w:rPr>
      <w:t xml:space="preserve"> 22 -</w:t>
    </w:r>
    <w:r w:rsidRPr="0030789F">
      <w:rPr>
        <w:rFonts w:ascii="宋体" w:hAnsi="宋体"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724860"/>
      <w:docPartObj>
        <w:docPartGallery w:val="Page Numbers (Bottom of Page)"/>
        <w:docPartUnique/>
      </w:docPartObj>
    </w:sdtPr>
    <w:sdtEndPr>
      <w:rPr>
        <w:rFonts w:ascii="宋体" w:hAnsi="宋体"/>
        <w:noProof/>
        <w:sz w:val="28"/>
        <w:szCs w:val="28"/>
        <w:lang w:val="zh-CN"/>
      </w:rPr>
    </w:sdtEndPr>
    <w:sdtContent>
      <w:p w:rsidR="009005EC" w:rsidRPr="007B5863" w:rsidRDefault="00C50D77" w:rsidP="007B5863">
        <w:pPr>
          <w:pStyle w:val="a3"/>
          <w:jc w:val="right"/>
          <w:rPr>
            <w:rFonts w:ascii="宋体" w:hAnsi="宋体"/>
            <w:noProof/>
            <w:sz w:val="28"/>
            <w:szCs w:val="28"/>
            <w:lang w:val="zh-CN"/>
          </w:rPr>
        </w:pPr>
        <w:r w:rsidRPr="007B5863">
          <w:rPr>
            <w:rFonts w:ascii="宋体" w:hAnsi="宋体"/>
            <w:noProof/>
            <w:sz w:val="28"/>
            <w:szCs w:val="28"/>
            <w:lang w:val="zh-CN"/>
          </w:rPr>
          <w:fldChar w:fldCharType="begin"/>
        </w:r>
        <w:r w:rsidR="00ED03A7" w:rsidRPr="007B5863">
          <w:rPr>
            <w:rFonts w:ascii="宋体" w:hAnsi="宋体"/>
            <w:noProof/>
            <w:sz w:val="28"/>
            <w:szCs w:val="28"/>
            <w:lang w:val="zh-CN"/>
          </w:rPr>
          <w:instrText>PAGE   \* MERGEFORMAT</w:instrText>
        </w:r>
        <w:r w:rsidRPr="007B5863">
          <w:rPr>
            <w:rFonts w:ascii="宋体" w:hAnsi="宋体"/>
            <w:noProof/>
            <w:sz w:val="28"/>
            <w:szCs w:val="28"/>
            <w:lang w:val="zh-CN"/>
          </w:rPr>
          <w:fldChar w:fldCharType="separate"/>
        </w:r>
        <w:r w:rsidR="00737525">
          <w:rPr>
            <w:rFonts w:ascii="宋体" w:hAnsi="宋体"/>
            <w:noProof/>
            <w:sz w:val="28"/>
            <w:szCs w:val="28"/>
            <w:lang w:val="zh-CN"/>
          </w:rPr>
          <w:t>- 1 -</w:t>
        </w:r>
        <w:r w:rsidRPr="007B5863">
          <w:rPr>
            <w:rFonts w:ascii="宋体" w:hAnsi="宋体"/>
            <w:noProof/>
            <w:sz w:val="28"/>
            <w:szCs w:val="28"/>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BFA" w:rsidRDefault="007B4BFA" w:rsidP="00DB54D6">
      <w:r>
        <w:separator/>
      </w:r>
    </w:p>
  </w:footnote>
  <w:footnote w:type="continuationSeparator" w:id="1">
    <w:p w:rsidR="007B4BFA" w:rsidRDefault="007B4BFA" w:rsidP="00DB54D6">
      <w:r>
        <w:continuationSeparator/>
      </w:r>
    </w:p>
  </w:footnote>
  <w:footnote w:id="2">
    <w:p w:rsidR="00DB54D6" w:rsidRDefault="00DB54D6" w:rsidP="00DB54D6">
      <w:pPr>
        <w:pStyle w:val="a5"/>
        <w:rPr>
          <w:rFonts w:ascii="CESI仿宋-GB2312" w:eastAsia="CESI仿宋-GB2312" w:hAnsi="CESI仿宋-GB2312" w:cs="CESI仿宋-GB2312"/>
        </w:rPr>
      </w:pPr>
      <w:r>
        <w:rPr>
          <w:rStyle w:val="a6"/>
          <w:rFonts w:ascii="CESI仿宋-GB2312" w:eastAsia="CESI仿宋-GB2312" w:hAnsi="CESI仿宋-GB2312" w:cs="CESI仿宋-GB2312" w:hint="eastAsia"/>
        </w:rPr>
        <w:footnoteRef/>
      </w:r>
      <w:r>
        <w:rPr>
          <w:rFonts w:ascii="CESI仿宋-GB2312" w:eastAsia="CESI仿宋-GB2312" w:hAnsi="CESI仿宋-GB2312" w:cs="CESI仿宋-GB2312" w:hint="eastAsia"/>
          <w:szCs w:val="18"/>
        </w:rPr>
        <w:t>城镇开发边界面积与现状城镇建设用地面积的比例为按照规则计算的扩展倍数。计算规则为：{上报划定城镇开发边界面积-城市（201、201A）-建制镇（202、202A）-村庄（203、203A）-盐田及采矿用地（204）-特殊用地（205）-交通运输用地（铁路用地1001，轨道交通用地1002，公路用地1003，机场用地1007，港口码头用地1008，管道运输用地1009）-水工建筑用地（1109）-在自然资源部系统备案批准建设用地范围内除以上地类外其他地类面积}/{城市（201、201A）+建制镇（202、202A）}+1，上述扣减用地均指位于上报划定城镇开发边界范围内的现状用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4D6"/>
    <w:rsid w:val="00737525"/>
    <w:rsid w:val="007B4BFA"/>
    <w:rsid w:val="00C50D77"/>
    <w:rsid w:val="00CD25DB"/>
    <w:rsid w:val="00DB54D6"/>
    <w:rsid w:val="00ED0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54D6"/>
    <w:pPr>
      <w:tabs>
        <w:tab w:val="center" w:pos="4153"/>
        <w:tab w:val="right" w:pos="8306"/>
      </w:tabs>
      <w:snapToGrid w:val="0"/>
      <w:jc w:val="left"/>
    </w:pPr>
    <w:rPr>
      <w:sz w:val="18"/>
      <w:szCs w:val="18"/>
    </w:rPr>
  </w:style>
  <w:style w:type="character" w:customStyle="1" w:styleId="Char">
    <w:name w:val="页脚 Char"/>
    <w:basedOn w:val="a0"/>
    <w:link w:val="a3"/>
    <w:qFormat/>
    <w:rsid w:val="00DB54D6"/>
    <w:rPr>
      <w:rFonts w:ascii="Times New Roman" w:eastAsia="宋体" w:hAnsi="Times New Roman" w:cs="Times New Roman"/>
      <w:sz w:val="18"/>
      <w:szCs w:val="18"/>
    </w:rPr>
  </w:style>
  <w:style w:type="paragraph" w:styleId="a4">
    <w:name w:val="Normal Indent"/>
    <w:basedOn w:val="a"/>
    <w:unhideWhenUsed/>
    <w:qFormat/>
    <w:rsid w:val="00DB54D6"/>
    <w:pPr>
      <w:ind w:firstLineChars="200" w:firstLine="420"/>
    </w:pPr>
    <w:rPr>
      <w:rFonts w:ascii="Calibri" w:hAnsi="Calibri"/>
      <w:szCs w:val="22"/>
    </w:rPr>
  </w:style>
  <w:style w:type="paragraph" w:styleId="a5">
    <w:name w:val="footnote text"/>
    <w:basedOn w:val="a"/>
    <w:link w:val="Char0"/>
    <w:qFormat/>
    <w:rsid w:val="00DB54D6"/>
    <w:pPr>
      <w:snapToGrid w:val="0"/>
      <w:jc w:val="left"/>
    </w:pPr>
    <w:rPr>
      <w:rFonts w:ascii="Calibri" w:hAnsi="Calibri"/>
      <w:sz w:val="18"/>
    </w:rPr>
  </w:style>
  <w:style w:type="character" w:customStyle="1" w:styleId="Char0">
    <w:name w:val="脚注文本 Char"/>
    <w:basedOn w:val="a0"/>
    <w:link w:val="a5"/>
    <w:rsid w:val="00DB54D6"/>
    <w:rPr>
      <w:rFonts w:ascii="Calibri" w:eastAsia="宋体" w:hAnsi="Calibri" w:cs="Times New Roman"/>
      <w:sz w:val="18"/>
      <w:szCs w:val="24"/>
    </w:rPr>
  </w:style>
  <w:style w:type="character" w:styleId="a6">
    <w:name w:val="footnote reference"/>
    <w:basedOn w:val="a0"/>
    <w:qFormat/>
    <w:rsid w:val="00DB54D6"/>
    <w:rPr>
      <w:vertAlign w:val="superscript"/>
    </w:rPr>
  </w:style>
  <w:style w:type="paragraph" w:styleId="a7">
    <w:name w:val="header"/>
    <w:basedOn w:val="a"/>
    <w:link w:val="Char1"/>
    <w:uiPriority w:val="99"/>
    <w:semiHidden/>
    <w:unhideWhenUsed/>
    <w:rsid w:val="007375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375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2024-05-31T02:16:00Z</dcterms:created>
  <dcterms:modified xsi:type="dcterms:W3CDTF">2024-05-31T06:33:00Z</dcterms:modified>
</cp:coreProperties>
</file>