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</w:t>
      </w:r>
      <w:bookmarkStart w:id="0" w:name="OLE_LINK9"/>
      <w:bookmarkStart w:id="1" w:name="OLE_LINK1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具身智能与人形机器人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产业科技攻关</w:t>
      </w:r>
      <w:bookmarkEnd w:id="0"/>
      <w:bookmarkEnd w:id="1"/>
    </w:p>
    <w:p w14:paraId="656A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（2025-2029）</w:t>
      </w:r>
    </w:p>
    <w:p w14:paraId="7EAEC1D3">
      <w:pPr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44999D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为充分发挥我省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具身智能与人形机器人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领域创新资源的比较优势，抢抓发展机遇，优化科技创新生态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，提升科技支撑能力，助推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具身智能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产业高质量发展，制定本方案。</w:t>
      </w:r>
    </w:p>
    <w:p w14:paraId="57C0F13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79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主要目标</w:t>
      </w:r>
    </w:p>
    <w:p w14:paraId="32235D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Times New Roman" w:hAnsi="Times New Roman" w:eastAsia="仿宋_GB2312"/>
          <w:color w:val="FF0000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紧跟国内外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sz w:val="32"/>
          <w:szCs w:val="40"/>
        </w:rPr>
        <w:t>发展趋势，结合我省科技创新资源禀赋和现实产业基础，加快布局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sz w:val="32"/>
          <w:szCs w:val="40"/>
        </w:rPr>
        <w:t>科技创新赛道，坚持立足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国家使命、</w:t>
      </w:r>
      <w:r>
        <w:rPr>
          <w:rFonts w:hint="eastAsia" w:ascii="Times New Roman" w:hAnsi="Times New Roman" w:eastAsia="仿宋_GB2312"/>
          <w:sz w:val="32"/>
          <w:szCs w:val="40"/>
        </w:rPr>
        <w:t>吉林所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需</w:t>
      </w:r>
      <w:r>
        <w:rPr>
          <w:rFonts w:hint="eastAsia" w:ascii="Times New Roman" w:hAnsi="Times New Roman" w:eastAsia="仿宋_GB2312"/>
          <w:sz w:val="32"/>
          <w:szCs w:val="40"/>
        </w:rPr>
        <w:t>、关键重点突破、应用转化优先、瞄准未来部署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的</w:t>
      </w:r>
      <w:r>
        <w:rPr>
          <w:rFonts w:hint="eastAsia" w:ascii="Times New Roman" w:hAnsi="Times New Roman" w:eastAsia="仿宋_GB2312"/>
          <w:sz w:val="32"/>
          <w:szCs w:val="40"/>
        </w:rPr>
        <w:t>原则，在优布局、深交流、拓场景、强保障4个方面发力，加快推动我省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sz w:val="32"/>
          <w:szCs w:val="40"/>
        </w:rPr>
        <w:t>创新能力提升，为吉林塑造未来产业体系提供重要科技支撑。</w:t>
      </w:r>
    </w:p>
    <w:p w14:paraId="143FBB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到2027年，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建成较为完善的具身智能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人形机器人产业技术创新体系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建设科技创新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平台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3个，并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在具身智能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算法、模型等软件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方面和灵巧手、一体化关节模组等硬件方面形成具有自主知识产权、国内领先的成果和“拳头”产品。</w:t>
      </w:r>
    </w:p>
    <w:p w14:paraId="625B5E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</w:rPr>
        <w:t>到2029年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引育</w:t>
      </w:r>
      <w:r>
        <w:rPr>
          <w:rFonts w:ascii="Times New Roman" w:hAnsi="Times New Roman" w:eastAsia="仿宋_GB2312"/>
          <w:sz w:val="32"/>
          <w:szCs w:val="40"/>
        </w:rPr>
        <w:t>跨学科、跨领域</w:t>
      </w:r>
      <w:r>
        <w:rPr>
          <w:rFonts w:hint="eastAsia" w:ascii="Times New Roman" w:hAnsi="Times New Roman" w:eastAsia="仿宋_GB2312"/>
          <w:sz w:val="32"/>
          <w:szCs w:val="40"/>
        </w:rPr>
        <w:t>、跨单位</w:t>
      </w:r>
      <w:r>
        <w:rPr>
          <w:rFonts w:ascii="Times New Roman" w:hAnsi="Times New Roman" w:eastAsia="仿宋_GB2312"/>
          <w:sz w:val="32"/>
          <w:szCs w:val="40"/>
        </w:rPr>
        <w:t>的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具身智能与人形机器人</w:t>
      </w:r>
      <w:r>
        <w:rPr>
          <w:rFonts w:ascii="Times New Roman" w:hAnsi="Times New Roman" w:eastAsia="仿宋_GB2312"/>
          <w:sz w:val="32"/>
          <w:szCs w:val="40"/>
        </w:rPr>
        <w:t>产业科技创新团队</w:t>
      </w:r>
      <w:r>
        <w:rPr>
          <w:rFonts w:hint="eastAsia" w:ascii="Times New Roman" w:hAnsi="Times New Roman" w:eastAsia="仿宋_GB2312"/>
          <w:sz w:val="32"/>
          <w:szCs w:val="40"/>
        </w:rPr>
        <w:t>不少于30个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，产业化进程加速，相关创新产品深度融入实体经济，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形成以应用场景需求为牵引，高质量核心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部组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件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制造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为支撑，催生、招引整机制造生产企业为目标的发展格局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在国内具身智能与人形机器人产业体现吉林影响力。</w:t>
      </w:r>
    </w:p>
    <w:p w14:paraId="2B7F77A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、重点任务</w:t>
      </w:r>
    </w:p>
    <w:p w14:paraId="6695F8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（一）开展控制与决策关键技术攻关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开发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具身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感知、认知推理、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意图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理解、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自主学习、动态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决策等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具身智能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算法与模型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进一步突破面向具身智能与人形机器人的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动力学建模方法与运动控制技术。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责任单位：省科技厅、省工信厅）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711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4E3644F3">
            <w:pPr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  <w:lang w:val="en-US" w:eastAsia="zh-CN"/>
              </w:rPr>
              <w:t>专栏1：主要攻关内容</w:t>
            </w:r>
          </w:p>
          <w:p w14:paraId="4DF6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具身感知算法：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通过融合视觉、听觉、触觉等多类传感器数据，模仿人类多感官协同能力，实现高效准确的场景理解与环境感知能力。</w:t>
            </w:r>
          </w:p>
          <w:p w14:paraId="6CB8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认知推理模型：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基于知识图谱等技术构建物理常识库和领域知识库，结合知识与数据双驱动等方法实现物理智能的交互学习和因果推断。</w:t>
            </w:r>
          </w:p>
          <w:p w14:paraId="5E58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default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意图理解技术：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突破自然人机交互技术，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采用预训练语言模型解析指令深层意图，结合场景动态构建上下文关联，实现高效精准人机交互与协同。</w:t>
            </w:r>
          </w:p>
          <w:p w14:paraId="48AE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自主学习机制：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设计离线转在线增量式持续学习框架，通过实时环境反馈优化模型参数，提升机器人对应用环境的适应能力。</w:t>
            </w:r>
          </w:p>
          <w:p w14:paraId="1F43E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动态决策模型：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采用“大、小脑”等分层决策架构，上层实现宏观目标分解和任务规划，下层基于强化学习等技术实现动作序列优化与技能学习。融合风险预测模块与鲁棒优化机制，平衡效率、鲁棒性与安全性。</w:t>
            </w:r>
          </w:p>
          <w:p w14:paraId="3722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动力学建模方法与运动控制技术：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建立机器人动力学模型，分析不同动作力量变化与能量消耗规律，采用优化算法动态调整运动参数，实现机器人精准动作执行与稳定运动；针对协同操作，设计柔顺控制和碰撞检测算法。</w:t>
            </w:r>
          </w:p>
        </w:tc>
      </w:tr>
    </w:tbl>
    <w:p w14:paraId="217AF9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Cs/>
          <w:sz w:val="32"/>
          <w:szCs w:val="32"/>
        </w:rPr>
        <w:t>开展核心部组件关键技术攻关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研发高精度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人形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机械臂、灵巧手、电子皮肤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一体化关节模组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、类脑智能芯片、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高精度传感器、高能量密度电池等核心部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组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件。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责任单位：省科技厅、省工信厅）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3A0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2BE2E6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  <w:lang w:val="en-US" w:eastAsia="zh-CN"/>
              </w:rPr>
              <w:t>专栏2：主要攻关内容</w:t>
            </w:r>
          </w:p>
          <w:p w14:paraId="5A05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高精度人形机械臂技术：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通过多关节集成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等技术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模仿人类手臂多自由度灵活运动能力，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采用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轻量化材料制造高强度机械臂并提升末端重复定位精度，实现机械臂快速响应、精确操作与高负载特性。</w:t>
            </w:r>
          </w:p>
          <w:p w14:paraId="31DB3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灵巧手与电子皮肤技术：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开发低成本多关节仿生机械手，集成触觉传感器，支持精细操作，提高负载能力。开发覆盖柔性传感器网络的电子皮肤，实时检测接触力与温度变化。</w:t>
            </w:r>
          </w:p>
          <w:p w14:paraId="375D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一体化关节模组技术：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将电机、减速器、编码器、驱动器集成至紧凑关节模组，突破精密传动磨损控制等瓶颈，提升动力密度。研发高功率密度伺服驱动器，支持高频启停与过载保护，适应突发冲击场景。</w:t>
            </w:r>
          </w:p>
          <w:p w14:paraId="5583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类脑智能芯片技术：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研发具备高算力、低能耗、自主认知和决策的类脑智能芯片，整合人工智能算法，实现具身智能机器人在多模态交互场景的高效信息处理。</w:t>
            </w:r>
          </w:p>
          <w:p w14:paraId="3092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高精度传感器技术：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开发3D视觉、力矩感知等多类传感器，融合数据消除环境干扰误差，提升复杂环境下的目标识别可靠性。</w:t>
            </w:r>
          </w:p>
          <w:p w14:paraId="74A5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高能量密度电池技术：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优化电池材料与散热等结构设计，提升单位重量储电量，延长机器人连续作业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/>
              </w:rPr>
              <w:t>时间，改善防水、防尘及抗震性能，满足复杂场景需求。集成智能管理监测系统，防止安全风险。</w:t>
            </w:r>
          </w:p>
        </w:tc>
      </w:tr>
    </w:tbl>
    <w:p w14:paraId="10DC45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（三）开展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具身智能高质量</w:t>
      </w:r>
      <w:r>
        <w:rPr>
          <w:rFonts w:hint="eastAsia" w:ascii="楷体" w:hAnsi="楷体" w:eastAsia="楷体" w:cs="楷体"/>
          <w:bCs/>
          <w:sz w:val="32"/>
          <w:szCs w:val="32"/>
        </w:rPr>
        <w:t>仿真技术攻关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研发高精度场景生成技术，构建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物理真实的</w:t>
      </w:r>
      <w:r>
        <w:rPr>
          <w:rFonts w:hint="eastAsia" w:ascii="仿宋_GB2312" w:hAnsi="仿宋_GB2312" w:eastAsia="仿宋_GB2312" w:cs="仿宋_GB2312"/>
          <w:sz w:val="32"/>
          <w:szCs w:val="32"/>
        </w:rPr>
        <w:t>虚拟环境模型；</w:t>
      </w:r>
      <w:r>
        <w:rPr>
          <w:rFonts w:hint="eastAsia" w:ascii="Times New Roman" w:hAnsi="Times New Roman" w:eastAsia="仿宋_GB2312"/>
          <w:sz w:val="32"/>
          <w:szCs w:val="40"/>
        </w:rPr>
        <w:t>研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发</w:t>
      </w:r>
      <w:r>
        <w:rPr>
          <w:rFonts w:hint="eastAsia" w:ascii="Times New Roman" w:hAnsi="Times New Roman" w:eastAsia="仿宋_GB2312"/>
          <w:sz w:val="32"/>
          <w:szCs w:val="40"/>
        </w:rPr>
        <w:t>虚实融合跨场景适配技术，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支持机器人仿真学习与训练。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责任单位：省科技厅、省工信厅）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2EC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2AB0BB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  <w:lang w:val="en-US" w:eastAsia="zh-CN"/>
              </w:rPr>
              <w:t>专栏3：主要攻关内容</w:t>
            </w:r>
          </w:p>
          <w:p w14:paraId="3D62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高精度场景生成技术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通过三维建模与物理引擎模拟真实世界规律，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构建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虚拟仿真平台，快速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生成高精度仿真场景，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实现机器人与典型环境的交互验证，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提升具身智能训练的场景覆盖度和训练效率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。</w:t>
            </w:r>
          </w:p>
          <w:p w14:paraId="4585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b/>
                <w:bCs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</w:rPr>
              <w:t>虚实融合跨场景适配技术</w:t>
            </w: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重点突破物理规律高保真模拟、多场景特征泛化提取、仿真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</w:rPr>
              <w:t>—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现实环境参数误差补偿等瓶颈，跨场景适配打通虚实壁垒，结合仿真环境预训练+真实场景微调模式，提升训练与部署效率。</w:t>
            </w:r>
          </w:p>
        </w:tc>
      </w:tr>
    </w:tbl>
    <w:p w14:paraId="56E097D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（四）开展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系统集成</w:t>
      </w:r>
      <w:r>
        <w:rPr>
          <w:rFonts w:hint="eastAsia" w:ascii="楷体" w:hAnsi="楷体" w:eastAsia="楷体" w:cs="楷体"/>
          <w:bCs/>
          <w:sz w:val="32"/>
          <w:szCs w:val="32"/>
        </w:rPr>
        <w:t>关键技术攻关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系统构建“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软件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—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硬件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—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场景—标准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位一体的支撑体系，全面推动具身智能与人形机器人产业从研发到应用的高效转化。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责任单位：省科技厅、省工信厅）</w:t>
      </w:r>
    </w:p>
    <w:p w14:paraId="14B87E6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1ED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67BE18C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楷体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32"/>
                <w:szCs w:val="32"/>
                <w:lang w:val="en-US" w:eastAsia="zh-CN"/>
              </w:rPr>
              <w:t>专栏4：主要攻关内容</w:t>
            </w:r>
          </w:p>
          <w:p w14:paraId="0379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default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软硬件系统集成：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强化软硬件一体化协同设计能力，实现从算法、模型到传感器、执行器等硬件模块的高效集成。</w:t>
            </w:r>
          </w:p>
          <w:p w14:paraId="79E7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default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场景验证示范：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集成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感知、认知、决策、执行等具身智能关键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</w:rPr>
              <w:t>技术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通过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工业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</w:rPr>
              <w:t>制造、农业生产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等典型应用场景，验证具身智能机器人的综合性能。</w:t>
            </w:r>
          </w:p>
          <w:p w14:paraId="6770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02" w:firstLineChars="200"/>
              <w:textAlignment w:val="auto"/>
              <w:rPr>
                <w:rFonts w:hint="eastAsia" w:ascii="Times New Roman" w:hAnsi="Times New Roman" w:eastAsia="仿宋_GB2312"/>
                <w:b/>
                <w:bCs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标准体系建设：</w:t>
            </w:r>
            <w:r>
              <w:rPr>
                <w:rFonts w:hint="eastAsia" w:ascii="Times New Roman" w:hAnsi="Times New Roman" w:eastAsia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构建具身智能检测标准技术体系，实现功能、性能、安全等特性检测，形成稳定、高效、可扩展的集成检测平台。</w:t>
            </w:r>
          </w:p>
        </w:tc>
      </w:tr>
    </w:tbl>
    <w:p w14:paraId="05B2F1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、条件保障</w:t>
      </w:r>
    </w:p>
    <w:p w14:paraId="4C7E0A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（一）组织保障</w:t>
      </w:r>
    </w:p>
    <w:p w14:paraId="58E9D0FD"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40"/>
          <w:highlight w:val="none"/>
        </w:rPr>
        <w:t>构建省市协调、部门联动、多方协同的组织工作机制，</w:t>
      </w: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组建包含高校院所和行业企业的科技创新联合体，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一体化推动技术攻关、产业引育、示范应用、人才培养、合作交流等工作，推进教</w:t>
      </w:r>
      <w:r>
        <w:rPr>
          <w:rFonts w:hint="eastAsia" w:ascii="Times New Roman" w:hAnsi="Times New Roman" w:eastAsia="仿宋_GB2312"/>
          <w:sz w:val="32"/>
          <w:szCs w:val="40"/>
        </w:rPr>
        <w:t>育科技人才产业融合发展。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责任单位：省科技厅、省发改委、省教育厅、省工信厅、省财政厅、省人社厅）</w:t>
      </w:r>
    </w:p>
    <w:p w14:paraId="100147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40"/>
        </w:rPr>
      </w:pPr>
      <w:bookmarkStart w:id="2" w:name="OLE_LINK8"/>
      <w:bookmarkStart w:id="3" w:name="OLE_LINK7"/>
      <w:r>
        <w:rPr>
          <w:rFonts w:hint="eastAsia" w:ascii="楷体" w:hAnsi="楷体" w:eastAsia="楷体" w:cs="楷体"/>
          <w:sz w:val="32"/>
          <w:szCs w:val="40"/>
        </w:rPr>
        <w:t>（二）平台保障</w:t>
      </w:r>
    </w:p>
    <w:p w14:paraId="3C8C6BE5"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40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shd w:val="clear" w:color="auto" w:fill="FFFFFF"/>
        </w:rPr>
        <w:t>建设</w:t>
      </w:r>
      <w:r>
        <w:rPr>
          <w:rFonts w:hint="eastAsia" w:ascii="Times New Roman" w:hAnsi="Times New Roman" w:eastAsia="仿宋_GB2312"/>
          <w:b/>
          <w:bCs/>
          <w:sz w:val="32"/>
          <w:szCs w:val="40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b/>
          <w:bCs/>
          <w:sz w:val="32"/>
          <w:szCs w:val="40"/>
        </w:rPr>
        <w:t>科技研发平台。</w:t>
      </w:r>
      <w:r>
        <w:rPr>
          <w:rFonts w:hint="eastAsia" w:ascii="Times New Roman" w:hAnsi="Times New Roman" w:eastAsia="仿宋_GB2312"/>
          <w:sz w:val="32"/>
          <w:szCs w:val="40"/>
        </w:rPr>
        <w:t>依托省内优势高校院所和企业</w:t>
      </w:r>
      <w:r>
        <w:rPr>
          <w:rFonts w:ascii="Times New Roman" w:hAnsi="Times New Roman" w:eastAsia="仿宋_GB2312"/>
          <w:sz w:val="32"/>
          <w:szCs w:val="40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布局具身智能省重点实验室、科技创新中心等省级研发平台，</w:t>
      </w:r>
      <w:r>
        <w:rPr>
          <w:rFonts w:hint="eastAsia" w:ascii="Times New Roman" w:hAnsi="Times New Roman" w:eastAsia="仿宋_GB2312"/>
          <w:sz w:val="32"/>
          <w:szCs w:val="40"/>
        </w:rPr>
        <w:t>聚焦感知技术、具身智能算法、核心零部件等关键技术，整合优势科技资源，吸引高层次人才，开展高水平科研，提升原始创新能力。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责任单位：省科技厅）</w:t>
      </w:r>
    </w:p>
    <w:p w14:paraId="5252DD17"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40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shd w:val="clear" w:color="auto" w:fill="FFFFFF"/>
        </w:rPr>
        <w:t>建设</w:t>
      </w:r>
      <w:r>
        <w:rPr>
          <w:rFonts w:hint="eastAsia" w:ascii="Times New Roman" w:hAnsi="Times New Roman" w:eastAsia="仿宋_GB2312"/>
          <w:b/>
          <w:bCs/>
          <w:sz w:val="32"/>
          <w:szCs w:val="40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b/>
          <w:bCs/>
          <w:sz w:val="32"/>
          <w:szCs w:val="40"/>
        </w:rPr>
        <w:t>训练</w:t>
      </w:r>
      <w:r>
        <w:rPr>
          <w:rFonts w:hint="eastAsia" w:ascii="Times New Roman" w:hAnsi="Times New Roman" w:eastAsia="仿宋_GB2312"/>
          <w:b/>
          <w:bCs/>
          <w:sz w:val="32"/>
          <w:szCs w:val="40"/>
          <w:lang w:val="en-US" w:eastAsia="zh-CN"/>
        </w:rPr>
        <w:t>和数据</w:t>
      </w:r>
      <w:r>
        <w:rPr>
          <w:rFonts w:hint="eastAsia" w:ascii="Times New Roman" w:hAnsi="Times New Roman" w:eastAsia="仿宋_GB2312"/>
          <w:b/>
          <w:bCs/>
          <w:sz w:val="32"/>
          <w:szCs w:val="40"/>
        </w:rPr>
        <w:t>平台。</w:t>
      </w:r>
      <w:r>
        <w:rPr>
          <w:rFonts w:hint="eastAsia" w:ascii="Times New Roman" w:hAnsi="Times New Roman" w:eastAsia="仿宋_GB2312"/>
          <w:sz w:val="32"/>
          <w:szCs w:val="40"/>
        </w:rPr>
        <w:t>鼓励省内相关单位（部门）搭建多场景、多任务虚拟物理仿真测试环境，打造可智能交互的虚拟训练平台，降低仿真环境向真实场景的迁移难度和研发成本。鼓励省内相关单位（部门）建设真实场景下、全流程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sz w:val="32"/>
          <w:szCs w:val="40"/>
        </w:rPr>
        <w:t>训练场，发现机器人感知、理解、决策、执行和通用泛化能力方面的不足，为技术创新提供攻关方向。鼓励省内相关单位（部门）采集机器人训练动作数据、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物体知识数据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szCs w:val="40"/>
        </w:rPr>
        <w:t>生成高质量的合成数据训练样本，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构建多场景验证的具身智能数据库，为技术创新迭代提供数据支撑。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责任单位：省科技厅、省发改委、省工信厅、省政数局、省工研院各司其职）</w:t>
      </w:r>
    </w:p>
    <w:p w14:paraId="48ECA643"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highlight w:val="none"/>
          <w:shd w:val="clear" w:color="auto" w:fill="FFFFFF"/>
        </w:rPr>
        <w:t>建设</w:t>
      </w:r>
      <w:r>
        <w:rPr>
          <w:rFonts w:hint="eastAsia" w:ascii="Times New Roman" w:hAnsi="Times New Roman" w:eastAsia="仿宋_GB2312"/>
          <w:b/>
          <w:bCs/>
          <w:sz w:val="32"/>
          <w:szCs w:val="32"/>
          <w:highlight w:val="none"/>
          <w:lang w:eastAsia="zh-CN"/>
        </w:rPr>
        <w:t>具身智能与人形机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器人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验证平台。</w:t>
      </w:r>
      <w:r>
        <w:rPr>
          <w:rFonts w:hint="eastAsia" w:ascii="Times New Roman" w:hAnsi="Times New Roman" w:eastAsia="仿宋_GB2312"/>
          <w:sz w:val="32"/>
          <w:szCs w:val="32"/>
        </w:rPr>
        <w:t>鼓励具有智能制造经验的单位，建设开放共享的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sz w:val="32"/>
          <w:szCs w:val="32"/>
        </w:rPr>
        <w:t>概念验证中试验证平台，为科研工作提供全方位验证服务，并设计和建造定制化的生产设备及工具，探索市场化运作模式，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搭建成果转化和技术转移渠道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责任单位：省科技厅、省发改委、省工信厅）</w:t>
      </w:r>
    </w:p>
    <w:p w14:paraId="47F99E12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40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shd w:val="clear" w:color="auto" w:fill="FFFFFF"/>
        </w:rPr>
        <w:t>建设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交流合作平台。</w:t>
      </w:r>
      <w:r>
        <w:rPr>
          <w:rFonts w:hint="eastAsia" w:ascii="Times New Roman" w:hAnsi="Times New Roman" w:eastAsia="仿宋_GB2312"/>
          <w:sz w:val="32"/>
          <w:szCs w:val="32"/>
        </w:rPr>
        <w:t>鼓励省内相关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高校院所和企业</w:t>
      </w:r>
      <w:r>
        <w:rPr>
          <w:rFonts w:hint="eastAsia" w:ascii="Times New Roman" w:hAnsi="Times New Roman" w:eastAsia="仿宋_GB2312"/>
          <w:sz w:val="32"/>
          <w:szCs w:val="32"/>
        </w:rPr>
        <w:t>利用吉浙合作、省院合作、省校合作等平台与行业顶尖团队开展对接，捕捉行业发展趋势、</w:t>
      </w:r>
      <w:r>
        <w:rPr>
          <w:rFonts w:hint="eastAsia" w:ascii="Times New Roman" w:hAnsi="Times New Roman" w:eastAsia="仿宋_GB2312"/>
          <w:sz w:val="32"/>
          <w:szCs w:val="40"/>
        </w:rPr>
        <w:t>了解最新技术突破、寻找研发和商业合作伙伴。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省教育厅、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省工信厅）</w:t>
      </w:r>
    </w:p>
    <w:p w14:paraId="3785B3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（三）场景保障</w:t>
      </w:r>
    </w:p>
    <w:p w14:paraId="46B23AFF"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支持省内相关单位（部门）积极发展人形机器人产业后市场服务，围绕工业制造、商业服务、特种作业、安保巡检、医疗康养等领域，打造一批优质应用场景并主动对外开放应用。鼓励机关事业单位、国有企业、链主企业、行业龙头企业结合实际，带头打造人形机器人应用场景，促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sz w:val="32"/>
          <w:szCs w:val="32"/>
        </w:rPr>
        <w:t>产业发展和技术迭代。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责任单位：省工信厅、省民政厅、省农业农村厅、省商务厅、省文旅厅、省卫健委、省应急厅、省科技厅各司其职）</w:t>
      </w:r>
    </w:p>
    <w:p w14:paraId="1D89EA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（四）人才保障</w:t>
      </w:r>
    </w:p>
    <w:p w14:paraId="71ECFBC1">
      <w:pP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shd w:val="clear" w:color="auto" w:fill="FFFFFF"/>
        </w:rPr>
        <w:t>引</w:t>
      </w:r>
      <w:r>
        <w:rPr>
          <w:rFonts w:hint="eastAsia" w:ascii="Times New Roman" w:hAnsi="Times New Roman" w:eastAsia="仿宋_GB2312"/>
          <w:b/>
          <w:sz w:val="32"/>
          <w:szCs w:val="32"/>
        </w:rPr>
        <w:t>进国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内外顶尖人才和</w:t>
      </w:r>
      <w:r>
        <w:rPr>
          <w:rFonts w:hint="eastAsia" w:ascii="Times New Roman" w:hAnsi="Times New Roman" w:eastAsia="仿宋_GB2312"/>
          <w:b/>
          <w:sz w:val="32"/>
          <w:szCs w:val="32"/>
        </w:rPr>
        <w:t>团队。</w:t>
      </w:r>
      <w:r>
        <w:rPr>
          <w:rFonts w:hint="eastAsia" w:ascii="Times New Roman" w:hAnsi="Times New Roman" w:eastAsia="仿宋_GB2312"/>
          <w:sz w:val="32"/>
          <w:szCs w:val="32"/>
        </w:rPr>
        <w:t>建立柔性引进机制，鼓励顶尖人才和团队以兼职顾问、参与项目等形式为我省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sz w:val="32"/>
          <w:szCs w:val="32"/>
        </w:rPr>
        <w:t>产业发展提供智力支持。鼓励高校院所和相关企业制定优惠政策，吸引国内外顶尖科研人才和团队来我省创新创业。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责任单位：省人社厅、省科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技厅、省工信厅）</w:t>
      </w:r>
    </w:p>
    <w:p w14:paraId="054421BE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shd w:val="clear" w:color="auto" w:fill="FFFFFF"/>
        </w:rPr>
        <w:t>培</w:t>
      </w:r>
      <w:r>
        <w:rPr>
          <w:rFonts w:hint="eastAsia" w:ascii="Times New Roman" w:hAnsi="Times New Roman" w:eastAsia="仿宋_GB2312"/>
          <w:b/>
          <w:sz w:val="32"/>
          <w:szCs w:val="32"/>
        </w:rPr>
        <w:t>养相关人才。</w:t>
      </w:r>
      <w:r>
        <w:rPr>
          <w:rFonts w:hint="eastAsia" w:ascii="Times New Roman" w:hAnsi="Times New Roman" w:eastAsia="仿宋_GB2312"/>
          <w:sz w:val="32"/>
          <w:szCs w:val="32"/>
        </w:rPr>
        <w:t>支持省内高校根据产业发展需求，布局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_GB2312"/>
          <w:sz w:val="32"/>
          <w:szCs w:val="32"/>
        </w:rPr>
        <w:t>学院或研究院，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/>
          <w:sz w:val="32"/>
          <w:szCs w:val="32"/>
        </w:rPr>
        <w:t>机器人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仿宋_GB2312"/>
          <w:sz w:val="32"/>
          <w:szCs w:val="32"/>
        </w:rPr>
        <w:t>、人工智能等相关专业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/>
          <w:sz w:val="32"/>
          <w:szCs w:val="32"/>
        </w:rPr>
        <w:t>，优化专业课程体系，加强师资队伍建设，提高人才培养质量。鼓励高校与企业合作开展人才培养，建立实习实训基地，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加强大学生创新与实践能力培养，为产业创新发展提供人才保障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责任单位：省教育厅）</w:t>
      </w:r>
    </w:p>
    <w:p w14:paraId="4399C3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（五）资金保障</w:t>
      </w:r>
    </w:p>
    <w:bookmarkEnd w:id="2"/>
    <w:bookmarkEnd w:id="3"/>
    <w:p w14:paraId="7AFA9E98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shd w:val="clear" w:color="auto" w:fill="FFFFFF"/>
        </w:rPr>
        <w:t>加大财政投入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highlight w:val="none"/>
          <w:lang w:val="en-US" w:eastAsia="zh-CN"/>
        </w:rPr>
        <w:t>省科技厅在科技聚力攻坚专项资金中统筹3000万元左右，</w:t>
      </w:r>
      <w:r>
        <w:rPr>
          <w:rFonts w:hint="eastAsia" w:ascii="Times New Roman" w:hAnsi="Times New Roman" w:eastAsia="仿宋_GB2312"/>
          <w:sz w:val="32"/>
          <w:szCs w:val="32"/>
        </w:rPr>
        <w:t>采取定向委托、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竞争择优、</w:t>
      </w:r>
      <w:r>
        <w:rPr>
          <w:rFonts w:hint="eastAsia" w:ascii="Times New Roman" w:hAnsi="Times New Roman" w:eastAsia="仿宋_GB2312"/>
          <w:sz w:val="32"/>
          <w:szCs w:val="32"/>
        </w:rPr>
        <w:t>揭榜挂帅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聚力攻坚等形式，组织开展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科技攻关</w:t>
      </w:r>
      <w:r>
        <w:rPr>
          <w:rFonts w:hint="eastAsia" w:ascii="Times New Roman" w:hAnsi="Times New Roman" w:eastAsia="仿宋_GB2312"/>
          <w:sz w:val="32"/>
          <w:szCs w:val="32"/>
        </w:rPr>
        <w:t>和成果转化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责任单位：省科技厅、省财政厅）</w:t>
      </w:r>
    </w:p>
    <w:p w14:paraId="2BEB50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2.强化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资本投入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支持</w:t>
      </w:r>
      <w:r>
        <w:rPr>
          <w:rFonts w:hint="eastAsia" w:ascii="Times New Roman" w:hAnsi="Times New Roman" w:eastAsia="仿宋_GB2312"/>
          <w:sz w:val="32"/>
          <w:szCs w:val="32"/>
        </w:rPr>
        <w:t>省级创业（风险）投资基金坚持投早、投小、投硬科技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投长期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推动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具身智能与人形机器人</w:t>
      </w:r>
      <w:r>
        <w:rPr>
          <w:rFonts w:hint="eastAsia" w:ascii="Times New Roman" w:hAnsi="Times New Roman" w:eastAsia="仿宋_GB2312"/>
          <w:sz w:val="32"/>
          <w:szCs w:val="32"/>
        </w:rPr>
        <w:t>领域的科技型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中小型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加快创新发展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同时，通过</w:t>
      </w:r>
      <w:r>
        <w:rPr>
          <w:rFonts w:hint="eastAsia" w:ascii="Times New Roman" w:hAnsi="Times New Roman" w:eastAsia="仿宋_GB2312"/>
          <w:sz w:val="32"/>
          <w:szCs w:val="32"/>
        </w:rPr>
        <w:t>“破茧成蝶”专项、企业R&amp;D投入引导计划等优惠政策，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引导企业加大研发投入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、省财政厅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）</w:t>
      </w:r>
    </w:p>
    <w:p w14:paraId="496756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3.完善科技金融联动机制。</w:t>
      </w:r>
      <w:r>
        <w:rPr>
          <w:rFonts w:hint="eastAsia" w:ascii="Times New Roman" w:hAnsi="Times New Roman" w:eastAsia="仿宋_GB2312"/>
          <w:sz w:val="32"/>
          <w:szCs w:val="32"/>
        </w:rPr>
        <w:t>建立与银行等投融资机构信息互通共享机制，及时推送优质具身智能研发企业“白名单”，支持银行等投融资机构之间加强合作，开发更多个性化、定制化金融产品，满足企业多样化的融资需求。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责任单位：省科技厅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、省委金融办）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6496302"/>
    </w:sdtPr>
    <w:sdtContent>
      <w:p w14:paraId="0A6A6D3D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ECCB79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83CBB"/>
    <w:rsid w:val="000234EF"/>
    <w:rsid w:val="000B3236"/>
    <w:rsid w:val="00123AAA"/>
    <w:rsid w:val="00200D06"/>
    <w:rsid w:val="002143F8"/>
    <w:rsid w:val="00364506"/>
    <w:rsid w:val="003A40C3"/>
    <w:rsid w:val="00421A6A"/>
    <w:rsid w:val="00452B1E"/>
    <w:rsid w:val="004816C9"/>
    <w:rsid w:val="00503CCE"/>
    <w:rsid w:val="00535DDE"/>
    <w:rsid w:val="00535FD3"/>
    <w:rsid w:val="005435E7"/>
    <w:rsid w:val="005A2E8B"/>
    <w:rsid w:val="005C7F57"/>
    <w:rsid w:val="00606A78"/>
    <w:rsid w:val="006075D8"/>
    <w:rsid w:val="006D3DD0"/>
    <w:rsid w:val="006D51C8"/>
    <w:rsid w:val="00776DBA"/>
    <w:rsid w:val="007A7F31"/>
    <w:rsid w:val="007C10D8"/>
    <w:rsid w:val="00825927"/>
    <w:rsid w:val="0084558B"/>
    <w:rsid w:val="00A92075"/>
    <w:rsid w:val="00AC6FFD"/>
    <w:rsid w:val="00B33C8C"/>
    <w:rsid w:val="00B70147"/>
    <w:rsid w:val="00BD6F9B"/>
    <w:rsid w:val="00BE74D5"/>
    <w:rsid w:val="00CA0CA1"/>
    <w:rsid w:val="00CC1CE4"/>
    <w:rsid w:val="00D76DDF"/>
    <w:rsid w:val="00DC4796"/>
    <w:rsid w:val="00DC76B4"/>
    <w:rsid w:val="00DE6568"/>
    <w:rsid w:val="00E77FF7"/>
    <w:rsid w:val="00F518E5"/>
    <w:rsid w:val="00FC2599"/>
    <w:rsid w:val="00FC2CDD"/>
    <w:rsid w:val="00FF32E7"/>
    <w:rsid w:val="01E272A3"/>
    <w:rsid w:val="01F21A2E"/>
    <w:rsid w:val="04C93CA0"/>
    <w:rsid w:val="05EB0522"/>
    <w:rsid w:val="0A465390"/>
    <w:rsid w:val="0C7A385E"/>
    <w:rsid w:val="0CE07034"/>
    <w:rsid w:val="0DF227CE"/>
    <w:rsid w:val="0FE02217"/>
    <w:rsid w:val="102E39F2"/>
    <w:rsid w:val="1049640B"/>
    <w:rsid w:val="10C35EEB"/>
    <w:rsid w:val="118E6C2A"/>
    <w:rsid w:val="128C65E7"/>
    <w:rsid w:val="15D2519F"/>
    <w:rsid w:val="16C02204"/>
    <w:rsid w:val="17F72777"/>
    <w:rsid w:val="182C078A"/>
    <w:rsid w:val="19640835"/>
    <w:rsid w:val="19C30331"/>
    <w:rsid w:val="1BF072C4"/>
    <w:rsid w:val="20BA6F0E"/>
    <w:rsid w:val="20F244C5"/>
    <w:rsid w:val="210D3744"/>
    <w:rsid w:val="21483CBB"/>
    <w:rsid w:val="21C03B6C"/>
    <w:rsid w:val="22711792"/>
    <w:rsid w:val="2BCC78A7"/>
    <w:rsid w:val="2F8D7603"/>
    <w:rsid w:val="2FF06FF1"/>
    <w:rsid w:val="30916C41"/>
    <w:rsid w:val="33481BC8"/>
    <w:rsid w:val="33D27CD5"/>
    <w:rsid w:val="33EC4FAB"/>
    <w:rsid w:val="383B17DC"/>
    <w:rsid w:val="39613959"/>
    <w:rsid w:val="3984786B"/>
    <w:rsid w:val="3A032090"/>
    <w:rsid w:val="3AAB0812"/>
    <w:rsid w:val="3ABE3507"/>
    <w:rsid w:val="3B0470AB"/>
    <w:rsid w:val="3B6660B9"/>
    <w:rsid w:val="3CE035BB"/>
    <w:rsid w:val="3F37948D"/>
    <w:rsid w:val="3F893C48"/>
    <w:rsid w:val="417B0F1A"/>
    <w:rsid w:val="41897EBC"/>
    <w:rsid w:val="45FC740D"/>
    <w:rsid w:val="471564D2"/>
    <w:rsid w:val="47D5291B"/>
    <w:rsid w:val="484F42B7"/>
    <w:rsid w:val="48972613"/>
    <w:rsid w:val="48CE53C3"/>
    <w:rsid w:val="496503DC"/>
    <w:rsid w:val="49A67B95"/>
    <w:rsid w:val="49A86B01"/>
    <w:rsid w:val="49E77164"/>
    <w:rsid w:val="4AA95646"/>
    <w:rsid w:val="4B315D69"/>
    <w:rsid w:val="4B8C6DC4"/>
    <w:rsid w:val="4BC249CC"/>
    <w:rsid w:val="4C5C4D2E"/>
    <w:rsid w:val="4C7D1DDA"/>
    <w:rsid w:val="4D167BB3"/>
    <w:rsid w:val="4D806A60"/>
    <w:rsid w:val="4FFA47AB"/>
    <w:rsid w:val="506E1504"/>
    <w:rsid w:val="522E4599"/>
    <w:rsid w:val="53244EF5"/>
    <w:rsid w:val="53B06CF4"/>
    <w:rsid w:val="54E745DB"/>
    <w:rsid w:val="58376858"/>
    <w:rsid w:val="585D7975"/>
    <w:rsid w:val="58C326E9"/>
    <w:rsid w:val="593A7303"/>
    <w:rsid w:val="5BFBF439"/>
    <w:rsid w:val="5DCD4097"/>
    <w:rsid w:val="5E347A08"/>
    <w:rsid w:val="5E654AED"/>
    <w:rsid w:val="61A77960"/>
    <w:rsid w:val="62854CE7"/>
    <w:rsid w:val="63372931"/>
    <w:rsid w:val="6442140B"/>
    <w:rsid w:val="653349AC"/>
    <w:rsid w:val="677F8D91"/>
    <w:rsid w:val="67BC7C5A"/>
    <w:rsid w:val="688C0A4D"/>
    <w:rsid w:val="6A087881"/>
    <w:rsid w:val="6AE1022C"/>
    <w:rsid w:val="6B0E415E"/>
    <w:rsid w:val="6D35327B"/>
    <w:rsid w:val="6D4720DA"/>
    <w:rsid w:val="705D3E36"/>
    <w:rsid w:val="73594BE7"/>
    <w:rsid w:val="73D019A9"/>
    <w:rsid w:val="785C351E"/>
    <w:rsid w:val="78A73E2B"/>
    <w:rsid w:val="7AE30153"/>
    <w:rsid w:val="7AF2258E"/>
    <w:rsid w:val="7AF9536C"/>
    <w:rsid w:val="7AFC1ABA"/>
    <w:rsid w:val="7BA642C7"/>
    <w:rsid w:val="7C3A4435"/>
    <w:rsid w:val="7E091F34"/>
    <w:rsid w:val="7E2A7BBE"/>
    <w:rsid w:val="7F633A0C"/>
    <w:rsid w:val="7FFF783F"/>
    <w:rsid w:val="DEBADA8C"/>
    <w:rsid w:val="EC5B7F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Times New Roman" w:hAnsi="Times New Roman" w:eastAsia="仿宋_GB2312"/>
      <w:b/>
      <w:bCs/>
      <w:sz w:val="44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5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3"/>
    <w:link w:val="6"/>
    <w:qFormat/>
    <w:uiPriority w:val="99"/>
    <w:rPr>
      <w:rFonts w:ascii="Calibri" w:hAnsi="Calibri"/>
      <w:kern w:val="2"/>
      <w:sz w:val="18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13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3804</Words>
  <Characters>3834</Characters>
  <Lines>17</Lines>
  <Paragraphs>4</Paragraphs>
  <TotalTime>8</TotalTime>
  <ScaleCrop>false</ScaleCrop>
  <LinksUpToDate>false</LinksUpToDate>
  <CharactersWithSpaces>3834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2025-04-21T03:34:00Z</dcterms:created>
  <dc:creator>一一波比</dc:creator>
  <cp:lastModifiedBy>   ⚡️</cp:lastModifiedBy>
  <cp:lastPrinted>2025-05-20T05:54:00Z</cp:lastPrinted>
  <dcterms:modified xsi:type="dcterms:W3CDTF">2025-07-04T01:10:44Z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2C402CD3D1B6401B9B575144FA697F80_13</vt:lpwstr>
  </property>
  <property fmtid="{D5CDD505-2E9C-101B-9397-08002B2CF9AE}" pid="4" name="KSOTemplateDocerSaveRecord">
    <vt:lpwstr>eyJoZGlkIjoiNzNhYzAzODNkYTUyNjVlOTRlYmQwNjU1ODBhYTVjMDgiLCJ1c2VySWQiOiIzNjU0MjY4NDEifQ==</vt:lpwstr>
  </property>
</Properties>
</file>