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意向加入吉林省无人机产业协会单位统计表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2002"/>
        <w:gridCol w:w="1704"/>
        <w:gridCol w:w="1982"/>
        <w:gridCol w:w="1243"/>
        <w:gridCol w:w="2368"/>
        <w:gridCol w:w="1296"/>
        <w:gridCol w:w="131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53"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002"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企业名称</w:t>
            </w:r>
          </w:p>
        </w:tc>
        <w:tc>
          <w:tcPr>
            <w:tcW w:w="170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所在地区</w:t>
            </w:r>
          </w:p>
        </w:tc>
        <w:tc>
          <w:tcPr>
            <w:tcW w:w="1982"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主营业务</w:t>
            </w:r>
          </w:p>
        </w:tc>
        <w:tc>
          <w:tcPr>
            <w:tcW w:w="1243"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主要产品</w:t>
            </w:r>
          </w:p>
        </w:tc>
        <w:tc>
          <w:tcPr>
            <w:tcW w:w="2368"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2023年产值（万元）</w:t>
            </w:r>
          </w:p>
        </w:tc>
        <w:tc>
          <w:tcPr>
            <w:tcW w:w="1296"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w:t>
            </w:r>
          </w:p>
        </w:tc>
        <w:tc>
          <w:tcPr>
            <w:tcW w:w="1310"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职务</w:t>
            </w:r>
          </w:p>
        </w:tc>
        <w:tc>
          <w:tcPr>
            <w:tcW w:w="1445" w:type="dxa"/>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75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示例</w:t>
            </w:r>
          </w:p>
        </w:tc>
        <w:tc>
          <w:tcPr>
            <w:tcW w:w="2002"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XX公司</w:t>
            </w:r>
          </w:p>
        </w:tc>
        <w:tc>
          <w:tcPr>
            <w:tcW w:w="170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长春市朝阳区</w:t>
            </w:r>
          </w:p>
        </w:tc>
        <w:tc>
          <w:tcPr>
            <w:tcW w:w="1982"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无人机整机制造</w:t>
            </w:r>
          </w:p>
        </w:tc>
        <w:tc>
          <w:tcPr>
            <w:tcW w:w="124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固定翼</w:t>
            </w: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无人机</w:t>
            </w:r>
          </w:p>
        </w:tc>
        <w:tc>
          <w:tcPr>
            <w:tcW w:w="236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XX</w:t>
            </w:r>
          </w:p>
        </w:tc>
        <w:tc>
          <w:tcPr>
            <w:tcW w:w="129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XX</w:t>
            </w:r>
          </w:p>
        </w:tc>
        <w:tc>
          <w:tcPr>
            <w:tcW w:w="131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XX</w:t>
            </w:r>
          </w:p>
        </w:tc>
        <w:tc>
          <w:tcPr>
            <w:tcW w:w="144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5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002" w:type="dxa"/>
            <w:vAlign w:val="center"/>
          </w:tcPr>
          <w:p>
            <w:pPr>
              <w:jc w:val="center"/>
              <w:rPr>
                <w:rFonts w:hint="eastAsia" w:ascii="仿宋_GB2312" w:hAnsi="仿宋_GB2312" w:eastAsia="仿宋_GB2312" w:cs="仿宋_GB2312"/>
                <w:sz w:val="24"/>
                <w:szCs w:val="24"/>
                <w:vertAlign w:val="baseline"/>
                <w:lang w:val="en-US" w:eastAsia="zh-CN"/>
              </w:rPr>
            </w:pPr>
          </w:p>
        </w:tc>
        <w:tc>
          <w:tcPr>
            <w:tcW w:w="1704" w:type="dxa"/>
            <w:vAlign w:val="center"/>
          </w:tcPr>
          <w:p>
            <w:pPr>
              <w:jc w:val="center"/>
              <w:rPr>
                <w:rFonts w:hint="eastAsia" w:ascii="仿宋_GB2312" w:hAnsi="仿宋_GB2312" w:eastAsia="仿宋_GB2312" w:cs="仿宋_GB2312"/>
                <w:sz w:val="24"/>
                <w:szCs w:val="24"/>
                <w:vertAlign w:val="baseline"/>
                <w:lang w:val="en-US" w:eastAsia="zh-CN"/>
              </w:rPr>
            </w:pPr>
          </w:p>
        </w:tc>
        <w:tc>
          <w:tcPr>
            <w:tcW w:w="1982" w:type="dxa"/>
            <w:vAlign w:val="center"/>
          </w:tcPr>
          <w:p>
            <w:pPr>
              <w:jc w:val="center"/>
              <w:rPr>
                <w:rFonts w:hint="eastAsia" w:ascii="仿宋_GB2312" w:hAnsi="仿宋_GB2312" w:eastAsia="仿宋_GB2312" w:cs="仿宋_GB2312"/>
                <w:sz w:val="24"/>
                <w:szCs w:val="24"/>
                <w:vertAlign w:val="baseline"/>
                <w:lang w:val="en-US" w:eastAsia="zh-CN"/>
              </w:rPr>
            </w:pPr>
          </w:p>
        </w:tc>
        <w:tc>
          <w:tcPr>
            <w:tcW w:w="1243" w:type="dxa"/>
            <w:vAlign w:val="center"/>
          </w:tcPr>
          <w:p>
            <w:pPr>
              <w:jc w:val="center"/>
              <w:rPr>
                <w:rFonts w:hint="eastAsia" w:ascii="仿宋_GB2312" w:hAnsi="仿宋_GB2312" w:eastAsia="仿宋_GB2312" w:cs="仿宋_GB2312"/>
                <w:sz w:val="24"/>
                <w:szCs w:val="24"/>
                <w:vertAlign w:val="baseline"/>
                <w:lang w:val="en-US" w:eastAsia="zh-CN"/>
              </w:rPr>
            </w:pPr>
          </w:p>
        </w:tc>
        <w:tc>
          <w:tcPr>
            <w:tcW w:w="2368" w:type="dxa"/>
            <w:vAlign w:val="center"/>
          </w:tcPr>
          <w:p>
            <w:pPr>
              <w:jc w:val="center"/>
              <w:rPr>
                <w:rFonts w:hint="eastAsia" w:ascii="仿宋_GB2312" w:hAnsi="仿宋_GB2312" w:eastAsia="仿宋_GB2312" w:cs="仿宋_GB2312"/>
                <w:sz w:val="24"/>
                <w:szCs w:val="24"/>
                <w:vertAlign w:val="baseline"/>
                <w:lang w:val="en-US" w:eastAsia="zh-CN"/>
              </w:rPr>
            </w:pPr>
          </w:p>
        </w:tc>
        <w:tc>
          <w:tcPr>
            <w:tcW w:w="1296" w:type="dxa"/>
            <w:vAlign w:val="center"/>
          </w:tcPr>
          <w:p>
            <w:pPr>
              <w:jc w:val="center"/>
              <w:rPr>
                <w:rFonts w:hint="eastAsia" w:ascii="仿宋_GB2312" w:hAnsi="仿宋_GB2312" w:eastAsia="仿宋_GB2312" w:cs="仿宋_GB2312"/>
                <w:sz w:val="24"/>
                <w:szCs w:val="24"/>
                <w:vertAlign w:val="baseline"/>
                <w:lang w:val="en-US" w:eastAsia="zh-CN"/>
              </w:rPr>
            </w:pPr>
          </w:p>
        </w:tc>
        <w:tc>
          <w:tcPr>
            <w:tcW w:w="1310" w:type="dxa"/>
            <w:vAlign w:val="center"/>
          </w:tcPr>
          <w:p>
            <w:pPr>
              <w:jc w:val="center"/>
              <w:rPr>
                <w:rFonts w:hint="eastAsia" w:ascii="仿宋_GB2312" w:hAnsi="仿宋_GB2312" w:eastAsia="仿宋_GB2312" w:cs="仿宋_GB2312"/>
                <w:sz w:val="24"/>
                <w:szCs w:val="24"/>
                <w:vertAlign w:val="baseline"/>
                <w:lang w:val="en-US" w:eastAsia="zh-CN"/>
              </w:rPr>
            </w:pPr>
          </w:p>
        </w:tc>
        <w:tc>
          <w:tcPr>
            <w:tcW w:w="1445"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75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002" w:type="dxa"/>
            <w:vAlign w:val="center"/>
          </w:tcPr>
          <w:p>
            <w:pPr>
              <w:jc w:val="center"/>
              <w:rPr>
                <w:rFonts w:hint="eastAsia" w:ascii="仿宋_GB2312" w:hAnsi="仿宋_GB2312" w:eastAsia="仿宋_GB2312" w:cs="仿宋_GB2312"/>
                <w:sz w:val="24"/>
                <w:szCs w:val="24"/>
                <w:vertAlign w:val="baseline"/>
                <w:lang w:val="en-US" w:eastAsia="zh-CN"/>
              </w:rPr>
            </w:pPr>
          </w:p>
        </w:tc>
        <w:tc>
          <w:tcPr>
            <w:tcW w:w="1704" w:type="dxa"/>
            <w:vAlign w:val="center"/>
          </w:tcPr>
          <w:p>
            <w:pPr>
              <w:jc w:val="center"/>
              <w:rPr>
                <w:rFonts w:hint="eastAsia" w:ascii="仿宋_GB2312" w:hAnsi="仿宋_GB2312" w:eastAsia="仿宋_GB2312" w:cs="仿宋_GB2312"/>
                <w:sz w:val="24"/>
                <w:szCs w:val="24"/>
                <w:vertAlign w:val="baseline"/>
                <w:lang w:val="en-US" w:eastAsia="zh-CN"/>
              </w:rPr>
            </w:pPr>
          </w:p>
        </w:tc>
        <w:tc>
          <w:tcPr>
            <w:tcW w:w="1982" w:type="dxa"/>
            <w:vAlign w:val="center"/>
          </w:tcPr>
          <w:p>
            <w:pPr>
              <w:jc w:val="center"/>
              <w:rPr>
                <w:rFonts w:hint="eastAsia" w:ascii="仿宋_GB2312" w:hAnsi="仿宋_GB2312" w:eastAsia="仿宋_GB2312" w:cs="仿宋_GB2312"/>
                <w:sz w:val="24"/>
                <w:szCs w:val="24"/>
                <w:vertAlign w:val="baseline"/>
                <w:lang w:val="en-US" w:eastAsia="zh-CN"/>
              </w:rPr>
            </w:pPr>
          </w:p>
        </w:tc>
        <w:tc>
          <w:tcPr>
            <w:tcW w:w="1243" w:type="dxa"/>
            <w:vAlign w:val="center"/>
          </w:tcPr>
          <w:p>
            <w:pPr>
              <w:jc w:val="center"/>
              <w:rPr>
                <w:rFonts w:hint="eastAsia" w:ascii="仿宋_GB2312" w:hAnsi="仿宋_GB2312" w:eastAsia="仿宋_GB2312" w:cs="仿宋_GB2312"/>
                <w:sz w:val="24"/>
                <w:szCs w:val="24"/>
                <w:vertAlign w:val="baseline"/>
                <w:lang w:val="en-US" w:eastAsia="zh-CN"/>
              </w:rPr>
            </w:pPr>
          </w:p>
        </w:tc>
        <w:tc>
          <w:tcPr>
            <w:tcW w:w="2368" w:type="dxa"/>
            <w:vAlign w:val="center"/>
          </w:tcPr>
          <w:p>
            <w:pPr>
              <w:jc w:val="center"/>
              <w:rPr>
                <w:rFonts w:hint="eastAsia" w:ascii="仿宋_GB2312" w:hAnsi="仿宋_GB2312" w:eastAsia="仿宋_GB2312" w:cs="仿宋_GB2312"/>
                <w:sz w:val="24"/>
                <w:szCs w:val="24"/>
                <w:vertAlign w:val="baseline"/>
                <w:lang w:val="en-US" w:eastAsia="zh-CN"/>
              </w:rPr>
            </w:pPr>
          </w:p>
        </w:tc>
        <w:tc>
          <w:tcPr>
            <w:tcW w:w="1296" w:type="dxa"/>
            <w:vAlign w:val="center"/>
          </w:tcPr>
          <w:p>
            <w:pPr>
              <w:jc w:val="center"/>
              <w:rPr>
                <w:rFonts w:hint="eastAsia" w:ascii="仿宋_GB2312" w:hAnsi="仿宋_GB2312" w:eastAsia="仿宋_GB2312" w:cs="仿宋_GB2312"/>
                <w:sz w:val="24"/>
                <w:szCs w:val="24"/>
                <w:vertAlign w:val="baseline"/>
                <w:lang w:val="en-US" w:eastAsia="zh-CN"/>
              </w:rPr>
            </w:pPr>
          </w:p>
        </w:tc>
        <w:tc>
          <w:tcPr>
            <w:tcW w:w="1310" w:type="dxa"/>
            <w:vAlign w:val="center"/>
          </w:tcPr>
          <w:p>
            <w:pPr>
              <w:jc w:val="center"/>
              <w:rPr>
                <w:rFonts w:hint="eastAsia" w:ascii="仿宋_GB2312" w:hAnsi="仿宋_GB2312" w:eastAsia="仿宋_GB2312" w:cs="仿宋_GB2312"/>
                <w:sz w:val="24"/>
                <w:szCs w:val="24"/>
                <w:vertAlign w:val="baseline"/>
                <w:lang w:val="en-US" w:eastAsia="zh-CN"/>
              </w:rPr>
            </w:pPr>
          </w:p>
        </w:tc>
        <w:tc>
          <w:tcPr>
            <w:tcW w:w="1445"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5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002" w:type="dxa"/>
            <w:vAlign w:val="center"/>
          </w:tcPr>
          <w:p>
            <w:pPr>
              <w:jc w:val="center"/>
              <w:rPr>
                <w:rFonts w:hint="eastAsia" w:ascii="仿宋_GB2312" w:hAnsi="仿宋_GB2312" w:eastAsia="仿宋_GB2312" w:cs="仿宋_GB2312"/>
                <w:sz w:val="24"/>
                <w:szCs w:val="24"/>
                <w:vertAlign w:val="baseline"/>
                <w:lang w:val="en-US" w:eastAsia="zh-CN"/>
              </w:rPr>
            </w:pPr>
          </w:p>
        </w:tc>
        <w:tc>
          <w:tcPr>
            <w:tcW w:w="1704" w:type="dxa"/>
            <w:vAlign w:val="center"/>
          </w:tcPr>
          <w:p>
            <w:pPr>
              <w:jc w:val="center"/>
              <w:rPr>
                <w:rFonts w:hint="eastAsia" w:ascii="仿宋_GB2312" w:hAnsi="仿宋_GB2312" w:eastAsia="仿宋_GB2312" w:cs="仿宋_GB2312"/>
                <w:sz w:val="24"/>
                <w:szCs w:val="24"/>
                <w:vertAlign w:val="baseline"/>
                <w:lang w:val="en-US" w:eastAsia="zh-CN"/>
              </w:rPr>
            </w:pPr>
          </w:p>
        </w:tc>
        <w:tc>
          <w:tcPr>
            <w:tcW w:w="1982" w:type="dxa"/>
            <w:vAlign w:val="center"/>
          </w:tcPr>
          <w:p>
            <w:pPr>
              <w:jc w:val="center"/>
              <w:rPr>
                <w:rFonts w:hint="eastAsia" w:ascii="仿宋_GB2312" w:hAnsi="仿宋_GB2312" w:eastAsia="仿宋_GB2312" w:cs="仿宋_GB2312"/>
                <w:sz w:val="24"/>
                <w:szCs w:val="24"/>
                <w:vertAlign w:val="baseline"/>
                <w:lang w:val="en-US" w:eastAsia="zh-CN"/>
              </w:rPr>
            </w:pPr>
          </w:p>
        </w:tc>
        <w:tc>
          <w:tcPr>
            <w:tcW w:w="1243" w:type="dxa"/>
            <w:vAlign w:val="center"/>
          </w:tcPr>
          <w:p>
            <w:pPr>
              <w:jc w:val="center"/>
              <w:rPr>
                <w:rFonts w:hint="eastAsia" w:ascii="仿宋_GB2312" w:hAnsi="仿宋_GB2312" w:eastAsia="仿宋_GB2312" w:cs="仿宋_GB2312"/>
                <w:sz w:val="24"/>
                <w:szCs w:val="24"/>
                <w:vertAlign w:val="baseline"/>
                <w:lang w:val="en-US" w:eastAsia="zh-CN"/>
              </w:rPr>
            </w:pPr>
          </w:p>
        </w:tc>
        <w:tc>
          <w:tcPr>
            <w:tcW w:w="2368" w:type="dxa"/>
            <w:vAlign w:val="center"/>
          </w:tcPr>
          <w:p>
            <w:pPr>
              <w:jc w:val="center"/>
              <w:rPr>
                <w:rFonts w:hint="eastAsia" w:ascii="仿宋_GB2312" w:hAnsi="仿宋_GB2312" w:eastAsia="仿宋_GB2312" w:cs="仿宋_GB2312"/>
                <w:sz w:val="24"/>
                <w:szCs w:val="24"/>
                <w:vertAlign w:val="baseline"/>
                <w:lang w:val="en-US" w:eastAsia="zh-CN"/>
              </w:rPr>
            </w:pPr>
          </w:p>
        </w:tc>
        <w:tc>
          <w:tcPr>
            <w:tcW w:w="1296" w:type="dxa"/>
            <w:vAlign w:val="center"/>
          </w:tcPr>
          <w:p>
            <w:pPr>
              <w:jc w:val="center"/>
              <w:rPr>
                <w:rFonts w:hint="eastAsia" w:ascii="仿宋_GB2312" w:hAnsi="仿宋_GB2312" w:eastAsia="仿宋_GB2312" w:cs="仿宋_GB2312"/>
                <w:sz w:val="24"/>
                <w:szCs w:val="24"/>
                <w:vertAlign w:val="baseline"/>
                <w:lang w:val="en-US" w:eastAsia="zh-CN"/>
              </w:rPr>
            </w:pPr>
          </w:p>
        </w:tc>
        <w:tc>
          <w:tcPr>
            <w:tcW w:w="1310" w:type="dxa"/>
            <w:vAlign w:val="center"/>
          </w:tcPr>
          <w:p>
            <w:pPr>
              <w:jc w:val="center"/>
              <w:rPr>
                <w:rFonts w:hint="eastAsia" w:ascii="仿宋_GB2312" w:hAnsi="仿宋_GB2312" w:eastAsia="仿宋_GB2312" w:cs="仿宋_GB2312"/>
                <w:sz w:val="24"/>
                <w:szCs w:val="24"/>
                <w:vertAlign w:val="baseline"/>
                <w:lang w:val="en-US" w:eastAsia="zh-CN"/>
              </w:rPr>
            </w:pPr>
          </w:p>
        </w:tc>
        <w:tc>
          <w:tcPr>
            <w:tcW w:w="1445" w:type="dxa"/>
            <w:vAlign w:val="center"/>
          </w:tcPr>
          <w:p>
            <w:pPr>
              <w:jc w:val="center"/>
              <w:rPr>
                <w:rFonts w:hint="eastAsia" w:ascii="仿宋_GB2312" w:hAnsi="仿宋_GB2312" w:eastAsia="仿宋_GB2312" w:cs="仿宋_GB2312"/>
                <w:sz w:val="24"/>
                <w:szCs w:val="24"/>
                <w:vertAlign w:val="baseline"/>
                <w:lang w:val="en-US" w:eastAsia="zh-CN"/>
              </w:rPr>
            </w:pPr>
          </w:p>
        </w:tc>
      </w:tr>
    </w:tbl>
    <w:p>
      <w:pPr>
        <w:jc w:val="center"/>
        <w:rPr>
          <w:rFonts w:hint="eastAsia" w:ascii="方正小标宋_GBK" w:hAnsi="方正小标宋_GBK" w:eastAsia="方正小标宋_GBK" w:cs="方正小标宋_GBK"/>
          <w:sz w:val="44"/>
          <w:szCs w:val="44"/>
          <w:lang w:val="en-US" w:eastAsia="zh-CN"/>
        </w:rPr>
        <w:sectPr>
          <w:footerReference r:id="rId3" w:type="default"/>
          <w:pgSz w:w="16838" w:h="11906" w:orient="landscape"/>
          <w:pgMar w:top="1474" w:right="1531" w:bottom="1417" w:left="1417" w:header="720" w:footer="720"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吉林省无人机产业协会简介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一、基本概况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2022年5月6日，</w:t>
      </w:r>
      <w:r>
        <w:rPr>
          <w:rFonts w:hint="eastAsia" w:ascii="仿宋_GB2312" w:hAnsi="仿宋_GB2312" w:eastAsia="仿宋_GB2312" w:cs="仿宋_GB2312"/>
          <w:sz w:val="32"/>
          <w:szCs w:val="32"/>
          <w:lang w:val="en-US" w:eastAsia="zh-CN"/>
        </w:rPr>
        <w:t>经</w:t>
      </w:r>
      <w:r>
        <w:rPr>
          <w:rFonts w:hint="default" w:ascii="仿宋_GB2312" w:hAnsi="仿宋_GB2312" w:eastAsia="仿宋_GB2312" w:cs="仿宋_GB2312"/>
          <w:sz w:val="32"/>
          <w:szCs w:val="32"/>
          <w:lang w:val="en-US" w:eastAsia="zh-CN"/>
        </w:rPr>
        <w:t>省民政厅</w:t>
      </w:r>
      <w:r>
        <w:rPr>
          <w:rFonts w:hint="eastAsia" w:ascii="仿宋_GB2312" w:hAnsi="仿宋_GB2312" w:eastAsia="仿宋_GB2312" w:cs="仿宋_GB2312"/>
          <w:sz w:val="32"/>
          <w:szCs w:val="32"/>
          <w:lang w:val="en-US" w:eastAsia="zh-CN"/>
        </w:rPr>
        <w:t>批准，吉林省无人机产业协会正式成立，省工信厅作为业务主管单位。</w:t>
      </w:r>
      <w:r>
        <w:rPr>
          <w:rFonts w:hint="default" w:ascii="仿宋_GB2312" w:hAnsi="仿宋_GB2312" w:eastAsia="仿宋_GB2312" w:cs="仿宋_GB2312"/>
          <w:sz w:val="32"/>
          <w:szCs w:val="32"/>
          <w:lang w:val="en-US" w:eastAsia="zh-CN"/>
        </w:rPr>
        <w:t>协会设会长、常务副会长各1人，副会长6人，理事6人，秘书长1人、秘书1人。</w:t>
      </w:r>
      <w:r>
        <w:rPr>
          <w:rFonts w:hint="eastAsia" w:ascii="仿宋_GB2312" w:hAnsi="仿宋_GB2312" w:eastAsia="仿宋_GB2312" w:cs="仿宋_GB2312"/>
          <w:sz w:val="32"/>
          <w:szCs w:val="32"/>
          <w:lang w:val="en-US" w:eastAsia="zh-CN"/>
        </w:rPr>
        <w:t>截至目前，共有会员单位40家，涉及新材料、光学元器件、无人机整机制造、培训机构、科研院所、飞行服务机构等，涵盖低空经济产业全产业链，同时编制多期《低空观察》简报，汇集国内各省份发展低空经济政策动态并提供省市有关部门，为科学决策提供参考，获得广泛好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二、工作成效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协会着眼</w:t>
      </w:r>
      <w:r>
        <w:rPr>
          <w:rFonts w:hint="eastAsia" w:ascii="仿宋_GB2312" w:hAnsi="仿宋_GB2312" w:eastAsia="仿宋_GB2312" w:cs="仿宋_GB2312"/>
          <w:sz w:val="32"/>
          <w:szCs w:val="32"/>
          <w:lang w:val="en-US" w:eastAsia="zh-CN"/>
        </w:rPr>
        <w:t>服务会员、服务社会、服务事业、服务大局</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夯实</w:t>
      </w:r>
      <w:r>
        <w:rPr>
          <w:rFonts w:hint="default" w:ascii="仿宋_GB2312" w:hAnsi="仿宋_GB2312" w:eastAsia="仿宋_GB2312" w:cs="仿宋_GB2312"/>
          <w:sz w:val="32"/>
          <w:szCs w:val="32"/>
          <w:lang w:val="en-US" w:eastAsia="zh-CN"/>
        </w:rPr>
        <w:t>宗旨</w:t>
      </w:r>
      <w:r>
        <w:rPr>
          <w:rFonts w:hint="eastAsia" w:ascii="仿宋_GB2312" w:hAnsi="仿宋_GB2312" w:eastAsia="仿宋_GB2312" w:cs="仿宋_GB2312"/>
          <w:sz w:val="32"/>
          <w:szCs w:val="32"/>
          <w:lang w:val="en-US" w:eastAsia="zh-CN"/>
        </w:rPr>
        <w:t>意识</w:t>
      </w:r>
      <w:r>
        <w:rPr>
          <w:rFonts w:hint="default" w:ascii="仿宋_GB2312" w:hAnsi="仿宋_GB2312" w:eastAsia="仿宋_GB2312" w:cs="仿宋_GB2312"/>
          <w:sz w:val="32"/>
          <w:szCs w:val="32"/>
          <w:lang w:val="en-US" w:eastAsia="zh-CN"/>
        </w:rPr>
        <w:t>、创新方法手段</w:t>
      </w:r>
      <w:r>
        <w:rPr>
          <w:rFonts w:hint="eastAsia" w:ascii="仿宋_GB2312" w:hAnsi="仿宋_GB2312" w:eastAsia="仿宋_GB2312" w:cs="仿宋_GB2312"/>
          <w:sz w:val="32"/>
          <w:szCs w:val="32"/>
          <w:lang w:val="en-US" w:eastAsia="zh-CN"/>
        </w:rPr>
        <w:t>，强化四大工作</w:t>
      </w:r>
      <w:r>
        <w:rPr>
          <w:rFonts w:hint="default" w:ascii="仿宋_GB2312" w:hAnsi="仿宋_GB2312" w:eastAsia="仿宋_GB2312" w:cs="仿宋_GB2312"/>
          <w:sz w:val="32"/>
          <w:szCs w:val="32"/>
          <w:lang w:val="en-US" w:eastAsia="zh-CN"/>
        </w:rPr>
        <w:t>品牌</w:t>
      </w:r>
      <w:r>
        <w:rPr>
          <w:rFonts w:hint="eastAsia" w:ascii="仿宋_GB2312" w:hAnsi="仿宋_GB2312" w:eastAsia="仿宋_GB2312" w:cs="仿宋_GB2312"/>
          <w:sz w:val="32"/>
          <w:szCs w:val="32"/>
          <w:lang w:val="en-US" w:eastAsia="zh-CN"/>
        </w:rPr>
        <w:t>建设，致力打造具有吉林特色的“吉字”品牌社会组织样板。</w:t>
      </w:r>
    </w:p>
    <w:p>
      <w:pPr>
        <w:keepNext w:val="0"/>
        <w:keepLines w:val="0"/>
        <w:pageBreakBefore w:val="0"/>
        <w:widowControl w:val="0"/>
        <w:kinsoku/>
        <w:wordWrap/>
        <w:overflowPunct/>
        <w:topLinePunct w:val="0"/>
        <w:autoSpaceDE/>
        <w:autoSpaceDN/>
        <w:bidi w:val="0"/>
        <w:adjustRightInd/>
        <w:snapToGrid/>
        <w:spacing w:line="240" w:lineRule="atLeast"/>
        <w:ind w:firstLine="680" w:firstLineChars="200"/>
        <w:textAlignment w:val="auto"/>
        <w:rPr>
          <w:rFonts w:hint="default" w:ascii="仿宋_GB2312" w:hAnsi="仿宋_GB2312" w:eastAsia="仿宋_GB2312" w:cs="仿宋_GB2312"/>
          <w:color w:val="0D1217"/>
          <w:kern w:val="0"/>
          <w:sz w:val="32"/>
          <w:szCs w:val="32"/>
          <w:lang w:val="en-US" w:eastAsia="zh-CN" w:bidi="ar"/>
        </w:rPr>
      </w:pPr>
      <w:r>
        <w:rPr>
          <w:rFonts w:hint="eastAsia" w:ascii="楷体_GB2312" w:hAnsi="楷体_GB2312" w:eastAsia="楷体_GB2312" w:cs="楷体_GB2312"/>
          <w:b w:val="0"/>
          <w:bCs/>
          <w:sz w:val="34"/>
          <w:szCs w:val="34"/>
          <w:lang w:val="en-US" w:eastAsia="zh-CN"/>
        </w:rPr>
        <w:t>（一）打造助力全省低空经济发展品牌</w:t>
      </w:r>
      <w:r>
        <w:rPr>
          <w:rFonts w:hint="eastAsia" w:ascii="楷体_GB2312" w:hAnsi="楷体_GB2312" w:eastAsia="楷体_GB2312" w:cs="楷体_GB2312"/>
          <w:b w:val="0"/>
          <w:bCs/>
          <w:color w:val="0D1217"/>
          <w:kern w:val="0"/>
          <w:sz w:val="32"/>
          <w:szCs w:val="32"/>
          <w:lang w:val="en-US" w:eastAsia="zh-CN" w:bidi="ar"/>
        </w:rPr>
        <w:t>。</w:t>
      </w:r>
      <w:r>
        <w:rPr>
          <w:rFonts w:hint="eastAsia" w:ascii="仿宋_GB2312" w:hAnsi="仿宋_GB2312" w:eastAsia="仿宋_GB2312" w:cs="仿宋_GB2312"/>
          <w:sz w:val="32"/>
          <w:szCs w:val="32"/>
        </w:rPr>
        <w:t>立足新发展理念，紧扣吉林振兴发展实际，积极主动</w:t>
      </w:r>
      <w:r>
        <w:rPr>
          <w:rFonts w:hint="eastAsia" w:ascii="仿宋_GB2312" w:hAnsi="仿宋_GB2312" w:eastAsia="仿宋_GB2312" w:cs="仿宋_GB2312"/>
          <w:sz w:val="32"/>
          <w:szCs w:val="32"/>
          <w:lang w:val="en-US" w:eastAsia="zh-CN"/>
        </w:rPr>
        <w:t>承担2023年</w:t>
      </w:r>
      <w:r>
        <w:rPr>
          <w:rFonts w:hint="eastAsia" w:ascii="仿宋_GB2312" w:hAnsi="仿宋_GB2312" w:eastAsia="仿宋_GB2312" w:cs="仿宋_GB2312"/>
          <w:color w:val="0D1217"/>
          <w:kern w:val="0"/>
          <w:sz w:val="32"/>
          <w:szCs w:val="32"/>
          <w:lang w:val="en-US" w:eastAsia="zh-CN" w:bidi="ar"/>
        </w:rPr>
        <w:t>空军航空开放活动·长春航空展各项任务，协办第三届中国（长春）通用航空发展大会暨首届无人机产业规划与发展研讨会及中国(长春)航空航天及光电产业创新大会。2024年，参与筹办长春国际光电博览会，为我省光电信息产业发展贡献力量。在省工信厅组织下，参加吉林省副省长李国强同志，省人大党组副书记、副主任，省总工会主席范锐平同志、长春市委常委、市政法委书记周贺同志等省市各级领导组织召开开展的低空经济发展研讨，立足本职建言献策。</w:t>
      </w:r>
    </w:p>
    <w:p>
      <w:pPr>
        <w:keepNext w:val="0"/>
        <w:keepLines w:val="0"/>
        <w:pageBreakBefore w:val="0"/>
        <w:widowControl w:val="0"/>
        <w:kinsoku/>
        <w:wordWrap/>
        <w:overflowPunct/>
        <w:topLinePunct w:val="0"/>
        <w:autoSpaceDE/>
        <w:autoSpaceDN/>
        <w:bidi w:val="0"/>
        <w:adjustRightInd/>
        <w:snapToGrid/>
        <w:spacing w:line="240" w:lineRule="atLeast"/>
        <w:ind w:firstLine="680" w:firstLineChars="200"/>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4"/>
          <w:szCs w:val="34"/>
          <w:lang w:val="en-US" w:eastAsia="zh-CN"/>
        </w:rPr>
        <w:t>（二）打造</w:t>
      </w:r>
      <w:r>
        <w:rPr>
          <w:rFonts w:hint="eastAsia" w:ascii="楷体_GB2312" w:hAnsi="楷体_GB2312" w:eastAsia="楷体_GB2312" w:cs="楷体_GB2312"/>
          <w:b w:val="0"/>
          <w:bCs/>
          <w:sz w:val="34"/>
          <w:szCs w:val="34"/>
        </w:rPr>
        <w:t>推动会员单位“走出去”</w:t>
      </w:r>
      <w:r>
        <w:rPr>
          <w:rFonts w:hint="eastAsia" w:ascii="楷体_GB2312" w:hAnsi="楷体_GB2312" w:eastAsia="楷体_GB2312" w:cs="楷体_GB2312"/>
          <w:b w:val="0"/>
          <w:bCs/>
          <w:sz w:val="34"/>
          <w:szCs w:val="34"/>
          <w:lang w:val="en-US" w:eastAsia="zh-CN"/>
        </w:rPr>
        <w:t>工作品牌</w:t>
      </w:r>
      <w:r>
        <w:rPr>
          <w:rFonts w:hint="eastAsia" w:ascii="楷体_GB2312" w:hAnsi="楷体_GB2312" w:eastAsia="楷体_GB2312" w:cs="楷体_GB2312"/>
          <w:b w:val="0"/>
          <w:bCs/>
          <w:sz w:val="34"/>
          <w:szCs w:val="34"/>
          <w:lang w:eastAsia="zh-CN"/>
        </w:rPr>
        <w:t>。</w:t>
      </w:r>
      <w:r>
        <w:rPr>
          <w:rFonts w:hint="eastAsia" w:ascii="仿宋_GB2312" w:hAnsi="仿宋_GB2312" w:eastAsia="仿宋_GB2312" w:cs="仿宋_GB2312"/>
          <w:b w:val="0"/>
          <w:bCs/>
          <w:sz w:val="34"/>
          <w:szCs w:val="34"/>
          <w:lang w:val="en-US" w:eastAsia="zh-CN"/>
        </w:rPr>
        <w:t>将</w:t>
      </w:r>
      <w:r>
        <w:rPr>
          <w:rFonts w:hint="eastAsia" w:ascii="仿宋_GB2312" w:hAnsi="仿宋_GB2312" w:eastAsia="仿宋_GB2312" w:cs="仿宋_GB2312"/>
          <w:b w:val="0"/>
          <w:bCs/>
          <w:sz w:val="32"/>
          <w:szCs w:val="32"/>
        </w:rPr>
        <w:t>推动通航产业发展，服务协会会员企业作为首要任务，利用协会平台搭建企业与政府之间信息互通的桥梁，协助会员单位参加在</w:t>
      </w:r>
      <w:r>
        <w:rPr>
          <w:rFonts w:hint="eastAsia" w:ascii="仿宋_GB2312" w:hAnsi="仿宋_GB2312" w:eastAsia="仿宋_GB2312" w:cs="仿宋_GB2312"/>
          <w:b w:val="0"/>
          <w:bCs/>
          <w:sz w:val="32"/>
          <w:szCs w:val="32"/>
          <w:lang w:val="en-US" w:eastAsia="zh-CN"/>
        </w:rPr>
        <w:t>北京、深圳、湖南、成都、珠海</w:t>
      </w:r>
      <w:r>
        <w:rPr>
          <w:rFonts w:hint="eastAsia" w:ascii="仿宋_GB2312" w:hAnsi="仿宋_GB2312" w:eastAsia="仿宋_GB2312" w:cs="仿宋_GB2312"/>
          <w:b w:val="0"/>
          <w:bCs/>
          <w:sz w:val="32"/>
          <w:szCs w:val="32"/>
        </w:rPr>
        <w:t>等地举办的展会及论坛活动。</w:t>
      </w:r>
      <w:r>
        <w:rPr>
          <w:rFonts w:hint="eastAsia" w:ascii="仿宋_GB2312" w:hAnsi="仿宋_GB2312" w:eastAsia="仿宋_GB2312" w:cs="仿宋_GB2312"/>
          <w:b w:val="0"/>
          <w:bCs/>
          <w:sz w:val="32"/>
          <w:szCs w:val="32"/>
          <w:lang w:val="en-US" w:eastAsia="zh-CN"/>
        </w:rPr>
        <w:t>2023第八届北京国际测绘地理信息技术装备博览会、</w:t>
      </w:r>
      <w:r>
        <w:rPr>
          <w:rFonts w:hint="eastAsia" w:ascii="仿宋_GB2312" w:hAnsi="仿宋_GB2312" w:eastAsia="仿宋_GB2312" w:cs="仿宋_GB2312"/>
          <w:b w:val="0"/>
          <w:bCs/>
          <w:sz w:val="32"/>
          <w:szCs w:val="32"/>
        </w:rPr>
        <w:t>在</w:t>
      </w:r>
      <w:r>
        <w:rPr>
          <w:rFonts w:hint="eastAsia" w:ascii="仿宋_GB2312" w:hAnsi="仿宋_GB2312" w:eastAsia="仿宋_GB2312" w:cs="仿宋_GB2312"/>
          <w:b w:val="0"/>
          <w:bCs/>
          <w:sz w:val="32"/>
          <w:szCs w:val="32"/>
          <w:lang w:val="en-US" w:eastAsia="zh-CN"/>
        </w:rPr>
        <w:t>深圳无人机产业博览会、湖南通用航空产业大会、世界光电科学与技术大会</w:t>
      </w:r>
      <w:r>
        <w:rPr>
          <w:rFonts w:hint="eastAsia" w:ascii="仿宋_GB2312" w:hAnsi="仿宋_GB2312" w:eastAsia="仿宋_GB2312" w:cs="仿宋_GB2312"/>
          <w:b w:val="0"/>
          <w:bCs/>
          <w:sz w:val="32"/>
          <w:szCs w:val="32"/>
        </w:rPr>
        <w:t>等极具规模的行业展会上，都留下了</w:t>
      </w:r>
      <w:r>
        <w:rPr>
          <w:rFonts w:hint="eastAsia" w:ascii="仿宋_GB2312" w:hAnsi="仿宋_GB2312" w:eastAsia="仿宋_GB2312" w:cs="仿宋_GB2312"/>
          <w:b w:val="0"/>
          <w:bCs/>
          <w:sz w:val="32"/>
          <w:szCs w:val="32"/>
          <w:lang w:val="en-US" w:eastAsia="zh-CN"/>
        </w:rPr>
        <w:t>吉林无协</w:t>
      </w:r>
      <w:r>
        <w:rPr>
          <w:rFonts w:hint="eastAsia" w:ascii="仿宋_GB2312" w:hAnsi="仿宋_GB2312" w:eastAsia="仿宋_GB2312" w:cs="仿宋_GB2312"/>
          <w:b w:val="0"/>
          <w:bCs/>
          <w:sz w:val="32"/>
          <w:szCs w:val="32"/>
        </w:rPr>
        <w:t>和会员单位身影。</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4"/>
          <w:szCs w:val="34"/>
          <w:lang w:val="en-US" w:eastAsia="zh-CN"/>
        </w:rPr>
        <w:t>打造强化重点企业招引行动品牌。</w:t>
      </w:r>
      <w:r>
        <w:rPr>
          <w:rFonts w:hint="eastAsia" w:ascii="仿宋_GB2312" w:hAnsi="仿宋_GB2312" w:eastAsia="仿宋_GB2312" w:cs="仿宋_GB2312"/>
          <w:sz w:val="32"/>
          <w:szCs w:val="32"/>
        </w:rPr>
        <w:t>充分发挥</w:t>
      </w:r>
      <w:r>
        <w:rPr>
          <w:rFonts w:hint="eastAsia" w:ascii="仿宋_GB2312" w:hAnsi="仿宋_GB2312" w:eastAsia="仿宋_GB2312" w:cs="仿宋_GB2312"/>
          <w:sz w:val="32"/>
          <w:szCs w:val="32"/>
          <w:lang w:val="en-US" w:eastAsia="zh-CN"/>
        </w:rPr>
        <w:t>平台优势</w:t>
      </w:r>
      <w:r>
        <w:rPr>
          <w:rFonts w:hint="eastAsia" w:ascii="仿宋_GB2312" w:hAnsi="仿宋_GB2312" w:eastAsia="仿宋_GB2312" w:cs="仿宋_GB2312"/>
          <w:sz w:val="32"/>
          <w:szCs w:val="32"/>
        </w:rPr>
        <w:t>，积极主动创造条件为</w:t>
      </w:r>
      <w:r>
        <w:rPr>
          <w:rFonts w:hint="eastAsia" w:ascii="仿宋_GB2312" w:hAnsi="仿宋_GB2312" w:eastAsia="仿宋_GB2312" w:cs="仿宋_GB2312"/>
          <w:sz w:val="32"/>
          <w:szCs w:val="32"/>
          <w:lang w:val="en-US" w:eastAsia="zh-CN"/>
        </w:rPr>
        <w:t>吉林省政府</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在北湖空天科技博览园和大房身机场航空小镇规划建设的过程中，助力政府“双招双引”，协会会长率领长春市发改委相关领导及新区招商组成员赴</w:t>
      </w:r>
      <w:r>
        <w:rPr>
          <w:rFonts w:hint="eastAsia" w:ascii="仿宋_GB2312" w:hAnsi="仿宋_GB2312" w:eastAsia="仿宋_GB2312" w:cs="仿宋_GB2312"/>
          <w:sz w:val="32"/>
          <w:szCs w:val="32"/>
          <w:highlight w:val="none"/>
        </w:rPr>
        <w:t>珠三角、长三角地区，走访对接了广州亿航、极飞科技、中电科芜湖钻石飞机制造、上海峰飞、中国商用、万丰航空等国内优质航空企业，介绍了长春市总体情况、投资政策、合作愿望与合作前景，并</w:t>
      </w:r>
      <w:r>
        <w:rPr>
          <w:rFonts w:hint="eastAsia" w:ascii="仿宋_GB2312" w:hAnsi="仿宋_GB2312" w:eastAsia="仿宋_GB2312" w:cs="仿宋_GB2312"/>
          <w:sz w:val="32"/>
          <w:szCs w:val="32"/>
          <w:highlight w:val="none"/>
          <w:lang w:val="en-US" w:eastAsia="zh-CN"/>
        </w:rPr>
        <w:t>与之</w:t>
      </w:r>
      <w:r>
        <w:rPr>
          <w:rFonts w:hint="eastAsia" w:ascii="仿宋_GB2312" w:hAnsi="仿宋_GB2312" w:eastAsia="仿宋_GB2312" w:cs="仿宋_GB2312"/>
          <w:sz w:val="32"/>
          <w:szCs w:val="32"/>
          <w:highlight w:val="none"/>
        </w:rPr>
        <w:t>达成初步合作意向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为全省经济高质量发展筑势赋能。</w:t>
      </w:r>
    </w:p>
    <w:p>
      <w:pPr>
        <w:jc w:val="center"/>
        <w:rPr>
          <w:rFonts w:hint="eastAsia" w:ascii="方正小标宋_GBK" w:hAnsi="方正小标宋_GBK" w:eastAsia="方正小标宋_GBK" w:cs="方正小标宋_GBK"/>
          <w:sz w:val="44"/>
          <w:szCs w:val="44"/>
          <w:lang w:val="en-US" w:eastAsia="zh-CN"/>
        </w:rPr>
      </w:pPr>
    </w:p>
    <w:sectPr>
      <w:pgSz w:w="11906" w:h="16838"/>
      <w:pgMar w:top="1531" w:right="1417" w:bottom="1417" w:left="1474"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YTBkOTVlMmFiZWRiODc0NDU2NjU3ZDM5ZThkNTkifQ=="/>
  </w:docVars>
  <w:rsids>
    <w:rsidRoot w:val="00000000"/>
    <w:rsid w:val="003B643A"/>
    <w:rsid w:val="003F5F2A"/>
    <w:rsid w:val="005F037B"/>
    <w:rsid w:val="01814321"/>
    <w:rsid w:val="02025461"/>
    <w:rsid w:val="02070CCA"/>
    <w:rsid w:val="021D229B"/>
    <w:rsid w:val="022C0730"/>
    <w:rsid w:val="022E6257"/>
    <w:rsid w:val="02E35293"/>
    <w:rsid w:val="030376E3"/>
    <w:rsid w:val="03B44E81"/>
    <w:rsid w:val="03EA2651"/>
    <w:rsid w:val="03FD4132"/>
    <w:rsid w:val="04294F27"/>
    <w:rsid w:val="0458580D"/>
    <w:rsid w:val="04657F2A"/>
    <w:rsid w:val="05171224"/>
    <w:rsid w:val="05177476"/>
    <w:rsid w:val="05502988"/>
    <w:rsid w:val="05575AC4"/>
    <w:rsid w:val="058C7E64"/>
    <w:rsid w:val="05AF76AE"/>
    <w:rsid w:val="05B31F3F"/>
    <w:rsid w:val="05F72E03"/>
    <w:rsid w:val="0600615C"/>
    <w:rsid w:val="06431E80"/>
    <w:rsid w:val="06532730"/>
    <w:rsid w:val="06712BB6"/>
    <w:rsid w:val="06896151"/>
    <w:rsid w:val="06A411DD"/>
    <w:rsid w:val="06F37A6F"/>
    <w:rsid w:val="078F7797"/>
    <w:rsid w:val="07AB0349"/>
    <w:rsid w:val="07C37441"/>
    <w:rsid w:val="07C5140B"/>
    <w:rsid w:val="07DE24CD"/>
    <w:rsid w:val="08283748"/>
    <w:rsid w:val="08D538D0"/>
    <w:rsid w:val="08F24482"/>
    <w:rsid w:val="097F55EA"/>
    <w:rsid w:val="09BA2AC6"/>
    <w:rsid w:val="0A586566"/>
    <w:rsid w:val="0A5B1BB3"/>
    <w:rsid w:val="0AB85257"/>
    <w:rsid w:val="0ADD54F2"/>
    <w:rsid w:val="0BEE462D"/>
    <w:rsid w:val="0C8F1FE8"/>
    <w:rsid w:val="0CF167FE"/>
    <w:rsid w:val="0D7F02AE"/>
    <w:rsid w:val="0D9D24E2"/>
    <w:rsid w:val="0DA90E87"/>
    <w:rsid w:val="0DFA16E3"/>
    <w:rsid w:val="0E034A3B"/>
    <w:rsid w:val="0E097B78"/>
    <w:rsid w:val="0E796AAB"/>
    <w:rsid w:val="0F8B118C"/>
    <w:rsid w:val="0FB51D65"/>
    <w:rsid w:val="100149A2"/>
    <w:rsid w:val="101A42BE"/>
    <w:rsid w:val="10507CE0"/>
    <w:rsid w:val="10B169D0"/>
    <w:rsid w:val="10C1473A"/>
    <w:rsid w:val="111451B1"/>
    <w:rsid w:val="11146F5F"/>
    <w:rsid w:val="124675EC"/>
    <w:rsid w:val="12A3059B"/>
    <w:rsid w:val="1319260B"/>
    <w:rsid w:val="13525B1D"/>
    <w:rsid w:val="13BD743A"/>
    <w:rsid w:val="13DB3D64"/>
    <w:rsid w:val="143811B7"/>
    <w:rsid w:val="14506E6E"/>
    <w:rsid w:val="14AB1989"/>
    <w:rsid w:val="14AD5701"/>
    <w:rsid w:val="14E153AA"/>
    <w:rsid w:val="157955E3"/>
    <w:rsid w:val="15E05662"/>
    <w:rsid w:val="15F80BFE"/>
    <w:rsid w:val="16ED68C1"/>
    <w:rsid w:val="1752433D"/>
    <w:rsid w:val="178F7340"/>
    <w:rsid w:val="17920BDE"/>
    <w:rsid w:val="1844637C"/>
    <w:rsid w:val="18583BD5"/>
    <w:rsid w:val="18BC4164"/>
    <w:rsid w:val="18CB25F9"/>
    <w:rsid w:val="18FA6A3B"/>
    <w:rsid w:val="190B6E9A"/>
    <w:rsid w:val="1AFC1190"/>
    <w:rsid w:val="1AFD2812"/>
    <w:rsid w:val="1B19589E"/>
    <w:rsid w:val="1B4D1BF7"/>
    <w:rsid w:val="1B7156DA"/>
    <w:rsid w:val="1BD25A4D"/>
    <w:rsid w:val="1C945A84"/>
    <w:rsid w:val="1C9571A6"/>
    <w:rsid w:val="1CF57C45"/>
    <w:rsid w:val="1D0B7468"/>
    <w:rsid w:val="1DE71C83"/>
    <w:rsid w:val="1E14059F"/>
    <w:rsid w:val="1E5947D2"/>
    <w:rsid w:val="1E990AA4"/>
    <w:rsid w:val="1F1C595D"/>
    <w:rsid w:val="1F7E6617"/>
    <w:rsid w:val="1F9D40BD"/>
    <w:rsid w:val="218F68ED"/>
    <w:rsid w:val="21935C7E"/>
    <w:rsid w:val="21E85FCA"/>
    <w:rsid w:val="21F229A5"/>
    <w:rsid w:val="226A69DF"/>
    <w:rsid w:val="228201CD"/>
    <w:rsid w:val="22CC769A"/>
    <w:rsid w:val="22F95FB5"/>
    <w:rsid w:val="22FF35CB"/>
    <w:rsid w:val="233F7E6C"/>
    <w:rsid w:val="234E6301"/>
    <w:rsid w:val="23F46EA8"/>
    <w:rsid w:val="24F133E8"/>
    <w:rsid w:val="2512063D"/>
    <w:rsid w:val="251B2213"/>
    <w:rsid w:val="25C7239A"/>
    <w:rsid w:val="25E058B2"/>
    <w:rsid w:val="265579A6"/>
    <w:rsid w:val="266B71CA"/>
    <w:rsid w:val="273E668C"/>
    <w:rsid w:val="27DF39CB"/>
    <w:rsid w:val="28773C04"/>
    <w:rsid w:val="28CE558B"/>
    <w:rsid w:val="29211DC2"/>
    <w:rsid w:val="29C510CA"/>
    <w:rsid w:val="29EA4C89"/>
    <w:rsid w:val="2A534C7B"/>
    <w:rsid w:val="2B0A6FB1"/>
    <w:rsid w:val="2B6F5066"/>
    <w:rsid w:val="2B966A97"/>
    <w:rsid w:val="2BA70CA4"/>
    <w:rsid w:val="2BEA293F"/>
    <w:rsid w:val="2C1D2D14"/>
    <w:rsid w:val="2C3342E6"/>
    <w:rsid w:val="2C4464F3"/>
    <w:rsid w:val="2C4B162F"/>
    <w:rsid w:val="2C864D5D"/>
    <w:rsid w:val="2CA945A8"/>
    <w:rsid w:val="2D7B4196"/>
    <w:rsid w:val="2D9B2143"/>
    <w:rsid w:val="2DAA05D8"/>
    <w:rsid w:val="2DB651CE"/>
    <w:rsid w:val="2E113790"/>
    <w:rsid w:val="2E383E35"/>
    <w:rsid w:val="2EC4391B"/>
    <w:rsid w:val="2EC8340B"/>
    <w:rsid w:val="2ED2428A"/>
    <w:rsid w:val="2F3E7229"/>
    <w:rsid w:val="2F713AA3"/>
    <w:rsid w:val="2FC055F1"/>
    <w:rsid w:val="2FE04785"/>
    <w:rsid w:val="30FD3114"/>
    <w:rsid w:val="30FD4EC2"/>
    <w:rsid w:val="31741628"/>
    <w:rsid w:val="32087FC3"/>
    <w:rsid w:val="32326DEE"/>
    <w:rsid w:val="32BB5035"/>
    <w:rsid w:val="333472C1"/>
    <w:rsid w:val="33582884"/>
    <w:rsid w:val="33631954"/>
    <w:rsid w:val="337771AE"/>
    <w:rsid w:val="338418CB"/>
    <w:rsid w:val="33C87A09"/>
    <w:rsid w:val="33E12879"/>
    <w:rsid w:val="344C4197"/>
    <w:rsid w:val="34675474"/>
    <w:rsid w:val="35262C3A"/>
    <w:rsid w:val="35431A3E"/>
    <w:rsid w:val="354D6418"/>
    <w:rsid w:val="35B93AAE"/>
    <w:rsid w:val="35C42453"/>
    <w:rsid w:val="36603F29"/>
    <w:rsid w:val="36681030"/>
    <w:rsid w:val="369D517D"/>
    <w:rsid w:val="36A22BCA"/>
    <w:rsid w:val="36B64491"/>
    <w:rsid w:val="36FD3E6E"/>
    <w:rsid w:val="37A33059"/>
    <w:rsid w:val="37E8067A"/>
    <w:rsid w:val="384653A1"/>
    <w:rsid w:val="397321C6"/>
    <w:rsid w:val="3991089E"/>
    <w:rsid w:val="3A1F5EA9"/>
    <w:rsid w:val="3B8C57C0"/>
    <w:rsid w:val="3BAB3E99"/>
    <w:rsid w:val="3BF35840"/>
    <w:rsid w:val="3C1A101E"/>
    <w:rsid w:val="3C862210"/>
    <w:rsid w:val="3D1D59FF"/>
    <w:rsid w:val="3D1E4B3E"/>
    <w:rsid w:val="3D2E2FD3"/>
    <w:rsid w:val="3D65276D"/>
    <w:rsid w:val="3DC12684"/>
    <w:rsid w:val="3DC254CA"/>
    <w:rsid w:val="3E175815"/>
    <w:rsid w:val="3E9E1A93"/>
    <w:rsid w:val="3EBA43F3"/>
    <w:rsid w:val="3F0A7128"/>
    <w:rsid w:val="3F9B5B1A"/>
    <w:rsid w:val="40E35E83"/>
    <w:rsid w:val="41FD2F74"/>
    <w:rsid w:val="423D5A66"/>
    <w:rsid w:val="428E0070"/>
    <w:rsid w:val="42B555FD"/>
    <w:rsid w:val="42E12896"/>
    <w:rsid w:val="436332AB"/>
    <w:rsid w:val="439D67BD"/>
    <w:rsid w:val="43BB4E95"/>
    <w:rsid w:val="43C7383A"/>
    <w:rsid w:val="443D1D4E"/>
    <w:rsid w:val="446472DA"/>
    <w:rsid w:val="45124600"/>
    <w:rsid w:val="45830700"/>
    <w:rsid w:val="45992FB4"/>
    <w:rsid w:val="45C5024D"/>
    <w:rsid w:val="45D65FB6"/>
    <w:rsid w:val="46647A66"/>
    <w:rsid w:val="46A240EA"/>
    <w:rsid w:val="46B61944"/>
    <w:rsid w:val="46F5024A"/>
    <w:rsid w:val="47234C08"/>
    <w:rsid w:val="47501D98"/>
    <w:rsid w:val="47685C5D"/>
    <w:rsid w:val="47FE35A2"/>
    <w:rsid w:val="482B15B1"/>
    <w:rsid w:val="48B3438D"/>
    <w:rsid w:val="48F549A5"/>
    <w:rsid w:val="491F1A22"/>
    <w:rsid w:val="49496A9F"/>
    <w:rsid w:val="49830203"/>
    <w:rsid w:val="4A123335"/>
    <w:rsid w:val="4A1E7F2C"/>
    <w:rsid w:val="4A3E237C"/>
    <w:rsid w:val="4A4320A9"/>
    <w:rsid w:val="4A745D9D"/>
    <w:rsid w:val="4B1D4687"/>
    <w:rsid w:val="4B475971"/>
    <w:rsid w:val="4B6B0F4E"/>
    <w:rsid w:val="4C0D46FC"/>
    <w:rsid w:val="4C6A56AA"/>
    <w:rsid w:val="4CBE1552"/>
    <w:rsid w:val="4CC4300C"/>
    <w:rsid w:val="4D423F31"/>
    <w:rsid w:val="4D64034B"/>
    <w:rsid w:val="4DC96400"/>
    <w:rsid w:val="4E1C6E78"/>
    <w:rsid w:val="4E8A3DE2"/>
    <w:rsid w:val="4E8C5DAC"/>
    <w:rsid w:val="4ED432AF"/>
    <w:rsid w:val="4FC60E49"/>
    <w:rsid w:val="4FCC3F86"/>
    <w:rsid w:val="4FE923F8"/>
    <w:rsid w:val="502A762A"/>
    <w:rsid w:val="504306EC"/>
    <w:rsid w:val="50454464"/>
    <w:rsid w:val="504D156B"/>
    <w:rsid w:val="509251CF"/>
    <w:rsid w:val="51031C29"/>
    <w:rsid w:val="513242BC"/>
    <w:rsid w:val="51954F77"/>
    <w:rsid w:val="51B573C7"/>
    <w:rsid w:val="51F577C4"/>
    <w:rsid w:val="527728CF"/>
    <w:rsid w:val="53035F10"/>
    <w:rsid w:val="53746E0E"/>
    <w:rsid w:val="538434F5"/>
    <w:rsid w:val="53986FA1"/>
    <w:rsid w:val="53EC2E48"/>
    <w:rsid w:val="54336CC9"/>
    <w:rsid w:val="547E6196"/>
    <w:rsid w:val="54837309"/>
    <w:rsid w:val="54AD25D8"/>
    <w:rsid w:val="54D45DB6"/>
    <w:rsid w:val="5503044A"/>
    <w:rsid w:val="556C2493"/>
    <w:rsid w:val="56350AD7"/>
    <w:rsid w:val="567333AD"/>
    <w:rsid w:val="569F23F4"/>
    <w:rsid w:val="56A95A2F"/>
    <w:rsid w:val="56D007FF"/>
    <w:rsid w:val="56DE116E"/>
    <w:rsid w:val="56F77E86"/>
    <w:rsid w:val="572B1EDA"/>
    <w:rsid w:val="575136EE"/>
    <w:rsid w:val="57AC6B77"/>
    <w:rsid w:val="57F64296"/>
    <w:rsid w:val="581F4E8E"/>
    <w:rsid w:val="58C16652"/>
    <w:rsid w:val="58DF4D2A"/>
    <w:rsid w:val="590B03C5"/>
    <w:rsid w:val="596B480F"/>
    <w:rsid w:val="5A296BA4"/>
    <w:rsid w:val="5A4F5EDF"/>
    <w:rsid w:val="5A963B0E"/>
    <w:rsid w:val="5AD04BB1"/>
    <w:rsid w:val="5B1038C0"/>
    <w:rsid w:val="5B5A2D8E"/>
    <w:rsid w:val="5B9C6F02"/>
    <w:rsid w:val="5C166CB5"/>
    <w:rsid w:val="5C842B6D"/>
    <w:rsid w:val="5CC76201"/>
    <w:rsid w:val="5CDF354A"/>
    <w:rsid w:val="5CF07506"/>
    <w:rsid w:val="5CF60894"/>
    <w:rsid w:val="5D380EAD"/>
    <w:rsid w:val="5D443CF5"/>
    <w:rsid w:val="5DA87DE0"/>
    <w:rsid w:val="5DE11544"/>
    <w:rsid w:val="5DEA21A7"/>
    <w:rsid w:val="5E145476"/>
    <w:rsid w:val="5EBD5B0D"/>
    <w:rsid w:val="5F13572D"/>
    <w:rsid w:val="5F24793A"/>
    <w:rsid w:val="5F6441DB"/>
    <w:rsid w:val="5F73441E"/>
    <w:rsid w:val="5FDA449D"/>
    <w:rsid w:val="5FFB4B3F"/>
    <w:rsid w:val="603E67DA"/>
    <w:rsid w:val="610F0176"/>
    <w:rsid w:val="61D373F6"/>
    <w:rsid w:val="61F07D09"/>
    <w:rsid w:val="620852F1"/>
    <w:rsid w:val="62540537"/>
    <w:rsid w:val="628C1A7E"/>
    <w:rsid w:val="62B80AC5"/>
    <w:rsid w:val="62C25F77"/>
    <w:rsid w:val="63844E4C"/>
    <w:rsid w:val="63952BB5"/>
    <w:rsid w:val="64354398"/>
    <w:rsid w:val="64395C36"/>
    <w:rsid w:val="64550596"/>
    <w:rsid w:val="6497295D"/>
    <w:rsid w:val="64A137DB"/>
    <w:rsid w:val="64DB4F3F"/>
    <w:rsid w:val="64FB738F"/>
    <w:rsid w:val="652561BA"/>
    <w:rsid w:val="659375C8"/>
    <w:rsid w:val="65B732B6"/>
    <w:rsid w:val="6603474E"/>
    <w:rsid w:val="663E7534"/>
    <w:rsid w:val="666B40A1"/>
    <w:rsid w:val="67550FD9"/>
    <w:rsid w:val="69653029"/>
    <w:rsid w:val="69B03DFB"/>
    <w:rsid w:val="6AF208ED"/>
    <w:rsid w:val="6B5874C5"/>
    <w:rsid w:val="6C164AAF"/>
    <w:rsid w:val="6C621AA2"/>
    <w:rsid w:val="6C643A6C"/>
    <w:rsid w:val="6CF92406"/>
    <w:rsid w:val="6E157307"/>
    <w:rsid w:val="6E160D96"/>
    <w:rsid w:val="6EB34837"/>
    <w:rsid w:val="6F0A08FB"/>
    <w:rsid w:val="6F2A4AF9"/>
    <w:rsid w:val="6F4656AB"/>
    <w:rsid w:val="6FAD74D8"/>
    <w:rsid w:val="6FB2689C"/>
    <w:rsid w:val="6FB70357"/>
    <w:rsid w:val="6FDB5DF3"/>
    <w:rsid w:val="700215D2"/>
    <w:rsid w:val="707029DF"/>
    <w:rsid w:val="71557E27"/>
    <w:rsid w:val="71641E18"/>
    <w:rsid w:val="7173160F"/>
    <w:rsid w:val="717B788E"/>
    <w:rsid w:val="717C53B4"/>
    <w:rsid w:val="718129CA"/>
    <w:rsid w:val="71C34D91"/>
    <w:rsid w:val="71F118FE"/>
    <w:rsid w:val="72331F17"/>
    <w:rsid w:val="724759C2"/>
    <w:rsid w:val="736B748E"/>
    <w:rsid w:val="73A82490"/>
    <w:rsid w:val="73C66DBA"/>
    <w:rsid w:val="740D49E9"/>
    <w:rsid w:val="74BD01BD"/>
    <w:rsid w:val="750C6A4F"/>
    <w:rsid w:val="75263FB5"/>
    <w:rsid w:val="75693EA1"/>
    <w:rsid w:val="75695C4F"/>
    <w:rsid w:val="759E3B4B"/>
    <w:rsid w:val="75C64E50"/>
    <w:rsid w:val="75FF0362"/>
    <w:rsid w:val="760A5684"/>
    <w:rsid w:val="7621652A"/>
    <w:rsid w:val="769D3E02"/>
    <w:rsid w:val="77065E4C"/>
    <w:rsid w:val="776272C3"/>
    <w:rsid w:val="77756B2D"/>
    <w:rsid w:val="77777D44"/>
    <w:rsid w:val="77B358A8"/>
    <w:rsid w:val="787212BF"/>
    <w:rsid w:val="78DD498A"/>
    <w:rsid w:val="78F543CA"/>
    <w:rsid w:val="79870D9A"/>
    <w:rsid w:val="79C478F8"/>
    <w:rsid w:val="79DC7338"/>
    <w:rsid w:val="79E65AC0"/>
    <w:rsid w:val="79FAED40"/>
    <w:rsid w:val="7A2B7977"/>
    <w:rsid w:val="7B5D6F9B"/>
    <w:rsid w:val="7BAE0860"/>
    <w:rsid w:val="7BB35E76"/>
    <w:rsid w:val="7BCD518A"/>
    <w:rsid w:val="7C06244A"/>
    <w:rsid w:val="7C1F350C"/>
    <w:rsid w:val="7C1F52BA"/>
    <w:rsid w:val="7CAA7279"/>
    <w:rsid w:val="7D1312C2"/>
    <w:rsid w:val="7D40198C"/>
    <w:rsid w:val="7D60202E"/>
    <w:rsid w:val="7DDF6959"/>
    <w:rsid w:val="7DF804B8"/>
    <w:rsid w:val="7ECD724F"/>
    <w:rsid w:val="7F1C3D32"/>
    <w:rsid w:val="7F511C2E"/>
    <w:rsid w:val="7FFF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1782</Words>
  <Characters>1842</Characters>
  <Lines>0</Lines>
  <Paragraphs>0</Paragraphs>
  <TotalTime>6</TotalTime>
  <ScaleCrop>false</ScaleCrop>
  <LinksUpToDate>false</LinksUpToDate>
  <CharactersWithSpaces>1877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2023-06-25T16:05:00Z</dcterms:created>
  <dc:creator>HUAWEI</dc:creator>
  <cp:lastModifiedBy>uos</cp:lastModifiedBy>
  <dcterms:modified xsi:type="dcterms:W3CDTF">2024-08-05T17:33:06Z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B77EA0136FC44D97A24750088019E242_13</vt:lpwstr>
  </property>
</Properties>
</file>