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附件3</w:t>
      </w:r>
      <w:bookmarkStart w:id="0" w:name="_GoBack"/>
      <w:bookmarkEnd w:id="0"/>
    </w:p>
    <w:p>
      <w:pPr>
        <w:widowControl/>
        <w:shd w:val="clear" w:color="auto" w:fill="FFFFFF"/>
        <w:spacing w:line="400" w:lineRule="exact"/>
        <w:jc w:val="center"/>
        <w:rPr>
          <w:rFonts w:ascii="方正小标宋简体" w:hAnsi="黑体" w:eastAsia="方正小标宋简体"/>
          <w:color w:val="000000" w:themeColor="text1"/>
          <w:kern w:val="0"/>
          <w:sz w:val="32"/>
          <w:szCs w:val="32"/>
          <w14:textFill>
            <w14:solidFill>
              <w14:schemeClr w14:val="tx1"/>
            </w14:solidFill>
          </w14:textFill>
        </w:rPr>
      </w:pPr>
    </w:p>
    <w:p>
      <w:pPr>
        <w:widowControl/>
        <w:shd w:val="clear" w:color="auto" w:fill="FFFFFF"/>
        <w:spacing w:line="400" w:lineRule="exact"/>
        <w:jc w:val="center"/>
        <w:rPr>
          <w:rFonts w:ascii="方正小标宋简体" w:eastAsia="方正小标宋简体"/>
          <w:color w:val="000000" w:themeColor="text1"/>
          <w:kern w:val="0"/>
          <w:sz w:val="44"/>
          <w:szCs w:val="44"/>
          <w14:textFill>
            <w14:solidFill>
              <w14:schemeClr w14:val="tx1"/>
            </w14:solidFill>
          </w14:textFill>
        </w:rPr>
      </w:pPr>
      <w:r>
        <w:rPr>
          <w:rFonts w:hint="eastAsia" w:ascii="方正小标宋简体" w:eastAsia="方正小标宋简体"/>
          <w:color w:val="000000" w:themeColor="text1"/>
          <w:kern w:val="0"/>
          <w:sz w:val="44"/>
          <w:szCs w:val="44"/>
          <w14:textFill>
            <w14:solidFill>
              <w14:schemeClr w14:val="tx1"/>
            </w14:solidFill>
          </w14:textFill>
        </w:rPr>
        <w:t>小食杂店静态风险因素量化分值表</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p>
    <w:tbl>
      <w:tblPr>
        <w:tblStyle w:val="4"/>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42"/>
        <w:gridCol w:w="1714"/>
        <w:gridCol w:w="984"/>
        <w:gridCol w:w="1078"/>
        <w:gridCol w:w="1379"/>
        <w:gridCol w:w="1261"/>
        <w:gridCol w:w="114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64" w:type="dxa"/>
            <w:noWrap/>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序号</w:t>
            </w:r>
          </w:p>
        </w:tc>
        <w:tc>
          <w:tcPr>
            <w:tcW w:w="2856" w:type="dxa"/>
            <w:gridSpan w:val="2"/>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评分项（共40分）</w:t>
            </w:r>
          </w:p>
        </w:tc>
        <w:tc>
          <w:tcPr>
            <w:tcW w:w="5845" w:type="dxa"/>
            <w:gridSpan w:val="5"/>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参考分值</w:t>
            </w:r>
          </w:p>
        </w:tc>
        <w:tc>
          <w:tcPr>
            <w:tcW w:w="875"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4"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1142"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预包装食品单品数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1714"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 xml:space="preserve">以下 </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-10</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r>
              <w:rPr>
                <w:rFonts w:hint="eastAsia" w:ascii="仿宋" w:hAnsi="仿宋" w:eastAsia="仿宋"/>
                <w:color w:val="000000" w:themeColor="text1"/>
                <w:kern w:val="0"/>
                <w:sz w:val="20"/>
                <w:szCs w:val="20"/>
                <w14:textFill>
                  <w14:solidFill>
                    <w14:schemeClr w14:val="tx1"/>
                  </w14:solidFill>
                </w14:textFill>
              </w:rPr>
              <w:t>15</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以上</w:t>
            </w:r>
          </w:p>
        </w:tc>
        <w:tc>
          <w:tcPr>
            <w:tcW w:w="875"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14" w:type="dxa"/>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分</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.5分</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875"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14"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分）</w:t>
            </w: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以下</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-10</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r>
              <w:rPr>
                <w:rFonts w:hint="eastAsia" w:ascii="仿宋" w:hAnsi="仿宋" w:eastAsia="仿宋"/>
                <w:color w:val="000000" w:themeColor="text1"/>
                <w:kern w:val="0"/>
                <w:sz w:val="20"/>
                <w:szCs w:val="20"/>
                <w14:textFill>
                  <w14:solidFill>
                    <w14:schemeClr w14:val="tx1"/>
                  </w14:solidFill>
                </w14:textFill>
              </w:rPr>
              <w:t>15</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以上</w:t>
            </w:r>
          </w:p>
        </w:tc>
        <w:tc>
          <w:tcPr>
            <w:tcW w:w="875"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14" w:type="dxa"/>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分</w:t>
            </w:r>
          </w:p>
        </w:tc>
        <w:tc>
          <w:tcPr>
            <w:tcW w:w="875"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1142"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散装食品单品数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w:t>
            </w:r>
            <w:r>
              <w:rPr>
                <w:rFonts w:ascii="仿宋" w:hAnsi="仿宋" w:eastAsia="仿宋"/>
                <w:color w:val="000000" w:themeColor="text1"/>
                <w:kern w:val="0"/>
                <w:sz w:val="20"/>
                <w:szCs w:val="20"/>
                <w14:textFill>
                  <w14:solidFill>
                    <w14:schemeClr w14:val="tx1"/>
                  </w14:solidFill>
                </w14:textFill>
              </w:rPr>
              <w:t>分）</w:t>
            </w:r>
          </w:p>
        </w:tc>
        <w:tc>
          <w:tcPr>
            <w:tcW w:w="1714"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以下</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-10</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r>
              <w:rPr>
                <w:rFonts w:hint="eastAsia" w:ascii="仿宋" w:hAnsi="仿宋" w:eastAsia="仿宋"/>
                <w:color w:val="000000" w:themeColor="text1"/>
                <w:kern w:val="0"/>
                <w:sz w:val="20"/>
                <w:szCs w:val="20"/>
                <w14:textFill>
                  <w14:solidFill>
                    <w14:schemeClr w14:val="tx1"/>
                  </w14:solidFill>
                </w14:textFill>
              </w:rPr>
              <w:t>15</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以上</w:t>
            </w:r>
          </w:p>
        </w:tc>
        <w:tc>
          <w:tcPr>
            <w:tcW w:w="875"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14" w:type="dxa"/>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分</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875"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14"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以下</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-10</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r>
              <w:rPr>
                <w:rFonts w:hint="eastAsia" w:ascii="仿宋" w:hAnsi="仿宋" w:eastAsia="仿宋"/>
                <w:color w:val="000000" w:themeColor="text1"/>
                <w:kern w:val="0"/>
                <w:sz w:val="20"/>
                <w:szCs w:val="20"/>
                <w14:textFill>
                  <w14:solidFill>
                    <w14:schemeClr w14:val="tx1"/>
                  </w14:solidFill>
                </w14:textFill>
              </w:rPr>
              <w:t>15</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以上</w:t>
            </w:r>
          </w:p>
        </w:tc>
        <w:tc>
          <w:tcPr>
            <w:tcW w:w="875"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14" w:type="dxa"/>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分</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875"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4"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c>
          <w:tcPr>
            <w:tcW w:w="1142" w:type="dxa"/>
            <w:vMerge w:val="restart"/>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171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畜禽水产品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5845" w:type="dxa"/>
            <w:gridSpan w:val="5"/>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4分</w:t>
            </w:r>
          </w:p>
        </w:tc>
        <w:tc>
          <w:tcPr>
            <w:tcW w:w="875"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42" w:type="dxa"/>
            <w:vMerge w:val="continue"/>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171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进口食用农产品（</w:t>
            </w:r>
            <w:r>
              <w:rPr>
                <w:rFonts w:hint="eastAsia" w:ascii="仿宋" w:hAnsi="仿宋" w:eastAsia="仿宋"/>
                <w:color w:val="000000" w:themeColor="text1"/>
                <w:kern w:val="0"/>
                <w:sz w:val="20"/>
                <w:szCs w:val="20"/>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5845" w:type="dxa"/>
            <w:gridSpan w:val="5"/>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875"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4"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p>
        </w:tc>
        <w:tc>
          <w:tcPr>
            <w:tcW w:w="2856" w:type="dxa"/>
            <w:gridSpan w:val="2"/>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食盐（1分）</w:t>
            </w: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销售不同产地食盐</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本地食盐</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外地食盐</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兼售</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p>
        </w:tc>
        <w:tc>
          <w:tcPr>
            <w:tcW w:w="875"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856" w:type="dxa"/>
            <w:gridSpan w:val="2"/>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0.8分</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p>
        </w:tc>
        <w:tc>
          <w:tcPr>
            <w:tcW w:w="875" w:type="dxa"/>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c>
          <w:tcPr>
            <w:tcW w:w="2856" w:type="dxa"/>
            <w:gridSpan w:val="2"/>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供货者数量（4分）</w:t>
            </w: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5以下</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-10</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15</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以上</w:t>
            </w:r>
          </w:p>
        </w:tc>
        <w:tc>
          <w:tcPr>
            <w:tcW w:w="875" w:type="dxa"/>
            <w:vMerge w:val="restart"/>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4" w:type="dxa"/>
            <w:vMerge w:val="continue"/>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856" w:type="dxa"/>
            <w:gridSpan w:val="2"/>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84"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78"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79"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261"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1143" w:type="dxa"/>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875" w:type="dxa"/>
            <w:vMerge w:val="continue"/>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64" w:type="dxa"/>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p>
        </w:tc>
        <w:tc>
          <w:tcPr>
            <w:tcW w:w="2856" w:type="dxa"/>
            <w:gridSpan w:val="2"/>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预包装食品拆包销售（4分）</w:t>
            </w:r>
          </w:p>
        </w:tc>
        <w:tc>
          <w:tcPr>
            <w:tcW w:w="5845" w:type="dxa"/>
            <w:gridSpan w:val="5"/>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4分</w:t>
            </w:r>
          </w:p>
        </w:tc>
        <w:tc>
          <w:tcPr>
            <w:tcW w:w="875" w:type="dxa"/>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64" w:type="dxa"/>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7</w:t>
            </w:r>
          </w:p>
        </w:tc>
        <w:tc>
          <w:tcPr>
            <w:tcW w:w="2856" w:type="dxa"/>
            <w:gridSpan w:val="2"/>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提供熟食复热服务（7分）</w:t>
            </w:r>
          </w:p>
        </w:tc>
        <w:tc>
          <w:tcPr>
            <w:tcW w:w="5845" w:type="dxa"/>
            <w:gridSpan w:val="5"/>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7分</w:t>
            </w:r>
          </w:p>
        </w:tc>
        <w:tc>
          <w:tcPr>
            <w:tcW w:w="875" w:type="dxa"/>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520" w:type="dxa"/>
            <w:gridSpan w:val="3"/>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720" w:type="dxa"/>
            <w:gridSpan w:val="6"/>
            <w:tcBorders>
              <w:bottom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64" w:type="dxa"/>
            <w:vAlign w:val="center"/>
          </w:tcPr>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备</w:t>
            </w: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注</w:t>
            </w:r>
          </w:p>
          <w:p>
            <w:pPr>
              <w:widowControl/>
              <w:spacing w:line="220" w:lineRule="exact"/>
              <w:ind w:firstLine="360" w:firstLineChars="200"/>
              <w:jc w:val="center"/>
              <w:rPr>
                <w:rFonts w:ascii="仿宋" w:hAnsi="仿宋" w:eastAsia="仿宋"/>
                <w:color w:val="000000" w:themeColor="text1"/>
                <w:kern w:val="0"/>
                <w:sz w:val="18"/>
                <w:szCs w:val="18"/>
                <w14:textFill>
                  <w14:solidFill>
                    <w14:schemeClr w14:val="tx1"/>
                  </w14:solidFill>
                </w14:textFill>
              </w:rPr>
            </w:pPr>
          </w:p>
          <w:p>
            <w:pPr>
              <w:spacing w:line="220" w:lineRule="exact"/>
              <w:jc w:val="center"/>
              <w:rPr>
                <w:rFonts w:ascii="仿宋" w:hAnsi="仿宋" w:eastAsia="仿宋"/>
                <w:color w:val="000000" w:themeColor="text1"/>
                <w:kern w:val="0"/>
                <w:sz w:val="18"/>
                <w:szCs w:val="18"/>
                <w14:textFill>
                  <w14:solidFill>
                    <w14:schemeClr w14:val="tx1"/>
                  </w14:solidFill>
                </w14:textFill>
              </w:rPr>
            </w:pPr>
          </w:p>
        </w:tc>
        <w:tc>
          <w:tcPr>
            <w:tcW w:w="9576" w:type="dxa"/>
            <w:gridSpan w:val="8"/>
            <w:vAlign w:val="center"/>
          </w:tcPr>
          <w:p>
            <w:pPr>
              <w:widowControl/>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.食品销售者同时经营食用农产品的按照食品销售者实施风险分级管理。</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评分总和为40分，评分项因实际情况缺项的，对应的得分为“0”。</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3</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单品数指独立展售食品的品种数。</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4</w:t>
            </w:r>
            <w:r>
              <w:rPr>
                <w:rFonts w:ascii="仿宋" w:hAnsi="仿宋" w:eastAsia="仿宋"/>
                <w:color w:val="000000" w:themeColor="text1"/>
                <w:kern w:val="0"/>
                <w:sz w:val="18"/>
                <w:szCs w:val="18"/>
                <w14:textFill>
                  <w14:solidFill>
                    <w14:schemeClr w14:val="tx1"/>
                  </w14:solidFill>
                </w14:textFill>
              </w:rPr>
              <w:t>.表中畜禽水产品不包括进口食用农产品。</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5</w:t>
            </w:r>
            <w:r>
              <w:rPr>
                <w:rFonts w:hint="eastAsia" w:ascii="仿宋" w:hAnsi="仿宋" w:eastAsia="仿宋"/>
                <w:color w:val="000000" w:themeColor="text1"/>
                <w:kern w:val="0"/>
                <w:sz w:val="18"/>
                <w:szCs w:val="18"/>
                <w14:textFill>
                  <w14:solidFill>
                    <w14:schemeClr w14:val="tx1"/>
                  </w14:solidFill>
                </w14:textFill>
              </w:rPr>
              <w:t>.预包装食品拆包销售指大米、杂粮、白酒等预包装食品拆包后，以计量称重等方式零售给消费者的行为。</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6</w:t>
            </w:r>
            <w:r>
              <w:rPr>
                <w:rFonts w:hint="eastAsia" w:ascii="仿宋" w:hAnsi="仿宋" w:eastAsia="仿宋"/>
                <w:color w:val="000000" w:themeColor="text1"/>
                <w:kern w:val="0"/>
                <w:sz w:val="18"/>
                <w:szCs w:val="18"/>
                <w14:textFill>
                  <w14:solidFill>
                    <w14:schemeClr w14:val="tx1"/>
                  </w14:solidFill>
                </w14:textFill>
              </w:rPr>
              <w:t>.各数值均为整数，如有小数，四舍五入取整。数量单位为个。</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7</w:t>
            </w:r>
            <w:r>
              <w:rPr>
                <w:rFonts w:hint="eastAsia" w:ascii="仿宋" w:hAnsi="仿宋" w:eastAsia="仿宋"/>
                <w:color w:val="000000" w:themeColor="text1"/>
                <w:kern w:val="0"/>
                <w:sz w:val="18"/>
                <w:szCs w:val="18"/>
                <w14:textFill>
                  <w14:solidFill>
                    <w14:schemeClr w14:val="tx1"/>
                  </w14:solidFill>
                </w14:textFill>
              </w:rPr>
              <w:t>.“以上”、“以下”均包含本数。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1D"/>
    <w:rsid w:val="000029B8"/>
    <w:rsid w:val="0001197F"/>
    <w:rsid w:val="00035797"/>
    <w:rsid w:val="00055714"/>
    <w:rsid w:val="000A466E"/>
    <w:rsid w:val="000C03F9"/>
    <w:rsid w:val="000C2F8B"/>
    <w:rsid w:val="000D2429"/>
    <w:rsid w:val="00101E2C"/>
    <w:rsid w:val="00102020"/>
    <w:rsid w:val="00121C06"/>
    <w:rsid w:val="00137B49"/>
    <w:rsid w:val="00140AF3"/>
    <w:rsid w:val="00163019"/>
    <w:rsid w:val="001D00EF"/>
    <w:rsid w:val="001F3B9F"/>
    <w:rsid w:val="0021105F"/>
    <w:rsid w:val="00223BB6"/>
    <w:rsid w:val="00271697"/>
    <w:rsid w:val="002800B6"/>
    <w:rsid w:val="0028099E"/>
    <w:rsid w:val="002D03AB"/>
    <w:rsid w:val="002E30E7"/>
    <w:rsid w:val="003129EA"/>
    <w:rsid w:val="00333545"/>
    <w:rsid w:val="00391378"/>
    <w:rsid w:val="003A19FC"/>
    <w:rsid w:val="003E78BC"/>
    <w:rsid w:val="003E7F9B"/>
    <w:rsid w:val="00412AC6"/>
    <w:rsid w:val="004311C3"/>
    <w:rsid w:val="004379EF"/>
    <w:rsid w:val="00444E51"/>
    <w:rsid w:val="00477BB0"/>
    <w:rsid w:val="004A03A7"/>
    <w:rsid w:val="004A4B92"/>
    <w:rsid w:val="004F1717"/>
    <w:rsid w:val="00502CD0"/>
    <w:rsid w:val="00522384"/>
    <w:rsid w:val="00526338"/>
    <w:rsid w:val="00540041"/>
    <w:rsid w:val="0054359E"/>
    <w:rsid w:val="00553A0B"/>
    <w:rsid w:val="0058039C"/>
    <w:rsid w:val="00594AA2"/>
    <w:rsid w:val="005E2238"/>
    <w:rsid w:val="005E3E22"/>
    <w:rsid w:val="00616EF7"/>
    <w:rsid w:val="00624121"/>
    <w:rsid w:val="00625E8F"/>
    <w:rsid w:val="006374F3"/>
    <w:rsid w:val="00652EC3"/>
    <w:rsid w:val="0066430A"/>
    <w:rsid w:val="006952D3"/>
    <w:rsid w:val="006B4AED"/>
    <w:rsid w:val="006E0996"/>
    <w:rsid w:val="006F51FB"/>
    <w:rsid w:val="00701DCF"/>
    <w:rsid w:val="007042A2"/>
    <w:rsid w:val="00720D7D"/>
    <w:rsid w:val="00732F0D"/>
    <w:rsid w:val="00772C04"/>
    <w:rsid w:val="0078015F"/>
    <w:rsid w:val="00793A37"/>
    <w:rsid w:val="00794C0A"/>
    <w:rsid w:val="007C0155"/>
    <w:rsid w:val="007D0A86"/>
    <w:rsid w:val="007E4CF9"/>
    <w:rsid w:val="007E681F"/>
    <w:rsid w:val="0080106F"/>
    <w:rsid w:val="00862ABC"/>
    <w:rsid w:val="00873F20"/>
    <w:rsid w:val="008879D6"/>
    <w:rsid w:val="00896794"/>
    <w:rsid w:val="008A3EB0"/>
    <w:rsid w:val="008B77B4"/>
    <w:rsid w:val="008D6B43"/>
    <w:rsid w:val="008D7ED6"/>
    <w:rsid w:val="008F7381"/>
    <w:rsid w:val="008F7547"/>
    <w:rsid w:val="00934AC9"/>
    <w:rsid w:val="00961620"/>
    <w:rsid w:val="00963D12"/>
    <w:rsid w:val="009766A6"/>
    <w:rsid w:val="009C6CBC"/>
    <w:rsid w:val="009E7CA2"/>
    <w:rsid w:val="009F1AE6"/>
    <w:rsid w:val="00A37923"/>
    <w:rsid w:val="00A64903"/>
    <w:rsid w:val="00A7720F"/>
    <w:rsid w:val="00AA3D30"/>
    <w:rsid w:val="00AD68BE"/>
    <w:rsid w:val="00AF3B6B"/>
    <w:rsid w:val="00AF7EAA"/>
    <w:rsid w:val="00B10AF8"/>
    <w:rsid w:val="00B1198F"/>
    <w:rsid w:val="00B2626F"/>
    <w:rsid w:val="00B900C1"/>
    <w:rsid w:val="00B972BE"/>
    <w:rsid w:val="00BD7F8B"/>
    <w:rsid w:val="00C048EE"/>
    <w:rsid w:val="00C061D8"/>
    <w:rsid w:val="00C12994"/>
    <w:rsid w:val="00C3571D"/>
    <w:rsid w:val="00C42C9F"/>
    <w:rsid w:val="00C44F99"/>
    <w:rsid w:val="00C4553A"/>
    <w:rsid w:val="00C860D7"/>
    <w:rsid w:val="00C926E6"/>
    <w:rsid w:val="00CA3165"/>
    <w:rsid w:val="00CA76B6"/>
    <w:rsid w:val="00CB7E07"/>
    <w:rsid w:val="00CE1A24"/>
    <w:rsid w:val="00CE6089"/>
    <w:rsid w:val="00D13D10"/>
    <w:rsid w:val="00D31504"/>
    <w:rsid w:val="00D72537"/>
    <w:rsid w:val="00DE361F"/>
    <w:rsid w:val="00DF247C"/>
    <w:rsid w:val="00DF3D42"/>
    <w:rsid w:val="00E06AD6"/>
    <w:rsid w:val="00E17D16"/>
    <w:rsid w:val="00E3311D"/>
    <w:rsid w:val="00E41E3E"/>
    <w:rsid w:val="00EA15F3"/>
    <w:rsid w:val="00F125BA"/>
    <w:rsid w:val="00F44B71"/>
    <w:rsid w:val="00F5557F"/>
    <w:rsid w:val="00FB5EA5"/>
    <w:rsid w:val="00FE74A0"/>
    <w:rsid w:val="00FE7648"/>
    <w:rsid w:val="00FF7236"/>
    <w:rsid w:val="5E6F58AA"/>
    <w:rsid w:val="E37D8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117</Words>
  <Characters>671</Characters>
  <Lines>5</Lines>
  <Paragraphs>1</Paragraphs>
  <TotalTime>1</TotalTime>
  <ScaleCrop>false</ScaleCrop>
  <LinksUpToDate>false</LinksUpToDate>
  <CharactersWithSpaces>787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2023-05-24T22:35:00Z</dcterms:created>
  <dc:creator>霍廉</dc:creator>
  <cp:lastModifiedBy>user</cp:lastModifiedBy>
  <dcterms:modified xsi:type="dcterms:W3CDTF">2023-05-25T11:06:40Z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