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5A" w:rsidRDefault="00AB425A" w:rsidP="00AB425A">
      <w:pPr>
        <w:pStyle w:val="a8"/>
        <w:spacing w:line="580" w:lineRule="exact"/>
        <w:rPr>
          <w:rFonts w:ascii="方正小标宋简体" w:eastAsia="方正小标宋简体" w:hint="eastAsia"/>
          <w:b w:val="0"/>
          <w:sz w:val="44"/>
          <w:szCs w:val="44"/>
        </w:rPr>
      </w:pPr>
    </w:p>
    <w:p w:rsidR="00DC23ED" w:rsidRPr="00AB425A" w:rsidRDefault="00394A12" w:rsidP="00AB425A">
      <w:pPr>
        <w:pStyle w:val="a8"/>
        <w:spacing w:line="580" w:lineRule="exact"/>
        <w:rPr>
          <w:rFonts w:ascii="方正小标宋简体" w:eastAsia="方正小标宋简体"/>
          <w:b w:val="0"/>
          <w:sz w:val="44"/>
          <w:szCs w:val="44"/>
        </w:rPr>
      </w:pPr>
      <w:r w:rsidRPr="00AB425A">
        <w:rPr>
          <w:rFonts w:ascii="方正小标宋简体" w:eastAsia="方正小标宋简体" w:hint="eastAsia"/>
          <w:b w:val="0"/>
          <w:sz w:val="44"/>
          <w:szCs w:val="44"/>
        </w:rPr>
        <w:t>吉林省交通运输厅公共交通企业信息公开</w:t>
      </w:r>
    </w:p>
    <w:p w:rsidR="00DC23ED" w:rsidRPr="00AB425A" w:rsidRDefault="008640B4" w:rsidP="00AB425A">
      <w:pPr>
        <w:pStyle w:val="a8"/>
        <w:spacing w:line="58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申诉</w:t>
      </w:r>
      <w:r w:rsidR="00394A12" w:rsidRPr="00AB425A">
        <w:rPr>
          <w:rFonts w:ascii="方正小标宋简体" w:eastAsia="方正小标宋简体" w:hint="eastAsia"/>
          <w:b w:val="0"/>
          <w:sz w:val="44"/>
          <w:szCs w:val="44"/>
        </w:rPr>
        <w:t>处理工作制度（试行）</w:t>
      </w:r>
    </w:p>
    <w:p w:rsidR="00AB425A" w:rsidRDefault="00AB425A">
      <w:pPr>
        <w:spacing w:line="480" w:lineRule="auto"/>
        <w:ind w:firstLineChars="200" w:firstLine="560"/>
        <w:rPr>
          <w:sz w:val="28"/>
          <w:szCs w:val="28"/>
        </w:rPr>
      </w:pPr>
    </w:p>
    <w:p w:rsidR="00DC23ED" w:rsidRPr="00AB425A" w:rsidRDefault="00394A12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425A">
        <w:rPr>
          <w:rFonts w:ascii="黑体" w:eastAsia="黑体" w:hAnsi="黑体" w:hint="eastAsia"/>
          <w:sz w:val="32"/>
          <w:szCs w:val="32"/>
        </w:rPr>
        <w:t>第一条</w:t>
      </w:r>
      <w:r w:rsidRPr="00AB425A">
        <w:rPr>
          <w:rFonts w:hint="eastAsia"/>
          <w:sz w:val="32"/>
          <w:szCs w:val="32"/>
        </w:rPr>
        <w:t xml:space="preserve"> </w:t>
      </w:r>
      <w:r w:rsidR="00AB425A" w:rsidRPr="00AB425A">
        <w:rPr>
          <w:sz w:val="32"/>
          <w:szCs w:val="32"/>
        </w:rPr>
        <w:t xml:space="preserve"> </w:t>
      </w:r>
      <w:r w:rsidRPr="00AB425A">
        <w:rPr>
          <w:rFonts w:ascii="仿宋_GB2312" w:eastAsia="仿宋_GB2312" w:hint="eastAsia"/>
          <w:sz w:val="32"/>
          <w:szCs w:val="32"/>
        </w:rPr>
        <w:t>为深入推进公共交通企业信息公开，加强对企业相关信息公开工作的监督管理，进一步提升公共交通基本出行服务水平，根据《中华人民共和国政府信息公开条例》、《公共企事业单位信息公开规定制定办法》、《公共交通企业信息公开规定》有关要求，特制定本办法。</w:t>
      </w:r>
    </w:p>
    <w:p w:rsidR="00DC23ED" w:rsidRPr="00AB425A" w:rsidRDefault="00394A12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425A">
        <w:rPr>
          <w:rFonts w:ascii="黑体" w:eastAsia="黑体" w:hAnsi="黑体" w:hint="eastAsia"/>
          <w:sz w:val="32"/>
          <w:szCs w:val="32"/>
        </w:rPr>
        <w:t>第二条</w:t>
      </w:r>
      <w:r w:rsidRPr="00AB425A">
        <w:rPr>
          <w:rFonts w:ascii="仿宋_GB2312" w:eastAsia="仿宋_GB2312" w:hint="eastAsia"/>
          <w:sz w:val="32"/>
          <w:szCs w:val="32"/>
        </w:rPr>
        <w:t xml:space="preserve"> </w:t>
      </w:r>
      <w:r w:rsidR="00AB425A">
        <w:rPr>
          <w:rFonts w:ascii="仿宋_GB2312" w:eastAsia="仿宋_GB2312"/>
          <w:sz w:val="32"/>
          <w:szCs w:val="32"/>
        </w:rPr>
        <w:t xml:space="preserve"> </w:t>
      </w:r>
      <w:r w:rsidRPr="00AB425A">
        <w:rPr>
          <w:rFonts w:ascii="仿宋_GB2312" w:eastAsia="仿宋_GB2312" w:hint="eastAsia"/>
          <w:sz w:val="32"/>
          <w:szCs w:val="32"/>
        </w:rPr>
        <w:t>省交通运输厅负责指导全省公路、水路领域公共交通企业的信息公开工作。县级及以上地方人民政府交通运输主管部门按职责，实施本行政区域内公路、水路领域公共交通企业的信息公开监督管理工作。</w:t>
      </w:r>
    </w:p>
    <w:p w:rsidR="00DC23ED" w:rsidRPr="00AB425A" w:rsidRDefault="00394A12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425A">
        <w:rPr>
          <w:rFonts w:ascii="黑体" w:eastAsia="黑体" w:hAnsi="黑体" w:hint="eastAsia"/>
          <w:sz w:val="32"/>
          <w:szCs w:val="32"/>
        </w:rPr>
        <w:t>第三条</w:t>
      </w:r>
      <w:r w:rsidRPr="00AB425A">
        <w:rPr>
          <w:rFonts w:ascii="仿宋_GB2312" w:eastAsia="仿宋_GB2312" w:hint="eastAsia"/>
          <w:sz w:val="32"/>
          <w:szCs w:val="32"/>
        </w:rPr>
        <w:t xml:space="preserve"> </w:t>
      </w:r>
      <w:r w:rsidR="00AB425A">
        <w:rPr>
          <w:rFonts w:ascii="仿宋_GB2312" w:eastAsia="仿宋_GB2312"/>
          <w:sz w:val="32"/>
          <w:szCs w:val="32"/>
        </w:rPr>
        <w:t xml:space="preserve"> </w:t>
      </w:r>
      <w:r w:rsidRPr="00AB425A">
        <w:rPr>
          <w:rFonts w:ascii="仿宋_GB2312" w:eastAsia="仿宋_GB2312" w:hint="eastAsia"/>
          <w:sz w:val="32"/>
          <w:szCs w:val="32"/>
        </w:rPr>
        <w:t>公共交通企业包括从事城市公共交通、轨道交通、道路</w:t>
      </w:r>
      <w:r w:rsidR="008640B4">
        <w:rPr>
          <w:rFonts w:ascii="仿宋_GB2312" w:eastAsia="仿宋_GB2312" w:hint="eastAsia"/>
          <w:sz w:val="32"/>
          <w:szCs w:val="32"/>
        </w:rPr>
        <w:t>班线</w:t>
      </w:r>
      <w:r w:rsidRPr="00AB425A">
        <w:rPr>
          <w:rFonts w:ascii="仿宋_GB2312" w:eastAsia="仿宋_GB2312" w:hint="eastAsia"/>
          <w:sz w:val="32"/>
          <w:szCs w:val="32"/>
        </w:rPr>
        <w:t>客运、道路客运站、水上客运经营的企业。要按照《公共交通企业信息公开规定》要求，建立健全企业信息公开制度，明确信息公开内容、发布流程、审核程序、申诉处理等。公共交通企业应主动公开运营服务、安全</w:t>
      </w:r>
      <w:r w:rsidR="00183458">
        <w:rPr>
          <w:rFonts w:ascii="仿宋_GB2312" w:eastAsia="仿宋_GB2312" w:hint="eastAsia"/>
          <w:sz w:val="32"/>
          <w:szCs w:val="32"/>
        </w:rPr>
        <w:t>防范</w:t>
      </w:r>
      <w:r w:rsidRPr="00AB425A">
        <w:rPr>
          <w:rFonts w:ascii="仿宋_GB2312" w:eastAsia="仿宋_GB2312" w:hint="eastAsia"/>
          <w:sz w:val="32"/>
          <w:szCs w:val="32"/>
        </w:rPr>
        <w:t>、应急处理、权益维护等信息，并积极扩大有利于提高公共交通服务质量的信息公开面，提升人民群众出行满意度。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lastRenderedPageBreak/>
        <w:t>第四条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</w:t>
      </w:r>
      <w:r w:rsidR="00AB425A">
        <w:rPr>
          <w:rFonts w:ascii="仿宋_GB2312" w:eastAsia="仿宋_GB2312" w:cstheme="minorBidi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公民、法人和其他组织（以下简称申诉人）对在我省行政区注册经营的公路、水路公共交通企业未按照《公共交通企业信息公开规定》公开相关信息的，可根据本制度向当地交通运输主管部门提出申诉。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>第五条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</w:t>
      </w:r>
      <w:r w:rsidR="00AB425A">
        <w:rPr>
          <w:rFonts w:ascii="仿宋_GB2312" w:eastAsia="仿宋_GB2312" w:cstheme="minorBidi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公共交通企业信息公开的监督方式，以向各级交通运输主管部门申诉为主，原则上不包括申请行政复议或者提起行政诉讼。申诉处理应当执行属地管理、归口办理、依法办理、客观高效的原则。重大申诉、多地反复出现</w:t>
      </w:r>
      <w:r w:rsidR="00183458">
        <w:rPr>
          <w:rFonts w:ascii="仿宋_GB2312" w:eastAsia="仿宋_GB2312" w:cstheme="minorBidi" w:hint="eastAsia"/>
          <w:kern w:val="2"/>
          <w:sz w:val="32"/>
          <w:szCs w:val="32"/>
        </w:rPr>
        <w:t>的</w:t>
      </w:r>
      <w:r w:rsidR="00183458">
        <w:rPr>
          <w:rFonts w:ascii="仿宋_GB2312" w:eastAsia="仿宋_GB2312" w:cstheme="minorBidi"/>
          <w:kern w:val="2"/>
          <w:sz w:val="32"/>
          <w:szCs w:val="32"/>
        </w:rPr>
        <w:t>共性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申诉等问题，可向上级交通运输</w:t>
      </w:r>
      <w:r w:rsidR="008640B4">
        <w:rPr>
          <w:rFonts w:ascii="仿宋_GB2312" w:eastAsia="仿宋_GB2312" w:cstheme="minorBidi" w:hint="eastAsia"/>
          <w:kern w:val="2"/>
          <w:sz w:val="32"/>
          <w:szCs w:val="32"/>
        </w:rPr>
        <w:t>主管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部门提出申诉。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>第六条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</w:t>
      </w:r>
      <w:r w:rsidR="00AB425A">
        <w:rPr>
          <w:rFonts w:ascii="仿宋_GB2312" w:eastAsia="仿宋_GB2312" w:cstheme="minorBidi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各地交通运输主管部门要督导行政区内公共交通企业做好信息</w:t>
      </w:r>
      <w:r w:rsidR="00183458">
        <w:rPr>
          <w:rFonts w:ascii="仿宋_GB2312" w:eastAsia="仿宋_GB2312" w:cstheme="minorBidi" w:hint="eastAsia"/>
          <w:kern w:val="2"/>
          <w:sz w:val="32"/>
          <w:szCs w:val="32"/>
        </w:rPr>
        <w:t>公开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工作，定期进行检查推动，</w:t>
      </w:r>
      <w:r w:rsidR="00183458" w:rsidRPr="00AB425A">
        <w:rPr>
          <w:rFonts w:ascii="仿宋_GB2312" w:eastAsia="仿宋_GB2312" w:cstheme="minorBidi" w:hint="eastAsia"/>
          <w:kern w:val="2"/>
          <w:sz w:val="32"/>
          <w:szCs w:val="32"/>
        </w:rPr>
        <w:t>并向社会公布</w:t>
      </w:r>
      <w:r w:rsidR="00183458">
        <w:rPr>
          <w:rFonts w:ascii="仿宋_GB2312" w:eastAsia="仿宋_GB2312" w:cstheme="minorBidi" w:hint="eastAsia"/>
          <w:kern w:val="2"/>
          <w:sz w:val="32"/>
          <w:szCs w:val="32"/>
        </w:rPr>
        <w:t>监督电话、监督邮箱</w:t>
      </w:r>
      <w:bookmarkStart w:id="0" w:name="_GoBack"/>
      <w:bookmarkEnd w:id="0"/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。要建立公共交通企业信息公开申诉处理制度，明确受理、登记、调查、办理、答复等工作内容。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 xml:space="preserve">第七条 </w:t>
      </w:r>
      <w:r w:rsidR="00AB425A">
        <w:rPr>
          <w:rFonts w:ascii="黑体" w:eastAsia="黑体" w:hAnsi="黑体" w:cstheme="minorBidi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申诉人向申诉公共交通企业所在地交通运输主管部门提出申诉时，应包括申诉人姓名（名称）、身份证明及联系方式；被申诉企业的名称及其违反《公共交通企业信息公开规定》的事实及内容；申诉人需求、理由及反馈方式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>第八条</w:t>
      </w:r>
      <w:r w:rsidR="00AB425A">
        <w:rPr>
          <w:rFonts w:ascii="黑体" w:eastAsia="黑体" w:hAnsi="黑体" w:cstheme="minorBidi" w:hint="eastAsia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交通运输主管部门接到申诉后，能够当场答复的，应当当场予以答复，不能当场答复的，应在接到申诉之日起15日内作出不予受理、决定受理的意见。对决定不予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lastRenderedPageBreak/>
        <w:t xml:space="preserve">受理的，应当以书面形式回复申诉人并告知理由。对受理的申诉事项，交通运输主管部门应当在申诉之日起30日内作出调查处理意见并反馈申诉人和被申诉企业。 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>第九条</w:t>
      </w:r>
      <w:r w:rsidR="00AB425A">
        <w:rPr>
          <w:rFonts w:ascii="黑体" w:eastAsia="黑体" w:hAnsi="黑体" w:cstheme="minorBidi" w:hint="eastAsia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被申诉企业应当在收到申诉处理意见之日起15日内，将执行情况报告交通运输主管部门。被申诉企业无正当理由拒不接受交通运输部门处理意见的，交通运输主管部门责令限期整改。</w:t>
      </w:r>
    </w:p>
    <w:p w:rsidR="00DC23ED" w:rsidRPr="00AB425A" w:rsidRDefault="00394A12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AB425A">
        <w:rPr>
          <w:rFonts w:ascii="黑体" w:eastAsia="黑体" w:hAnsi="黑体" w:cstheme="minorBidi" w:hint="eastAsia"/>
          <w:kern w:val="2"/>
          <w:sz w:val="32"/>
          <w:szCs w:val="32"/>
        </w:rPr>
        <w:t>第十条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 xml:space="preserve"> </w:t>
      </w:r>
      <w:r w:rsidR="00AB425A">
        <w:rPr>
          <w:rFonts w:ascii="仿宋_GB2312" w:eastAsia="仿宋_GB2312" w:cstheme="minorBidi"/>
          <w:kern w:val="2"/>
          <w:sz w:val="32"/>
          <w:szCs w:val="32"/>
        </w:rPr>
        <w:t xml:space="preserve"> </w:t>
      </w:r>
      <w:r w:rsidRPr="00AB425A">
        <w:rPr>
          <w:rFonts w:ascii="仿宋_GB2312" w:eastAsia="仿宋_GB2312" w:cstheme="minorBidi" w:hint="eastAsia"/>
          <w:kern w:val="2"/>
          <w:sz w:val="32"/>
          <w:szCs w:val="32"/>
        </w:rPr>
        <w:t>本制度自2022年6月1日起施行。</w:t>
      </w:r>
    </w:p>
    <w:p w:rsidR="00DC23ED" w:rsidRPr="00AB425A" w:rsidRDefault="00DC23ED">
      <w:pPr>
        <w:pStyle w:val="a3"/>
        <w:widowControl/>
        <w:spacing w:beforeAutospacing="0" w:afterAutospacing="0" w:line="480" w:lineRule="auto"/>
        <w:ind w:firstLineChars="200" w:firstLine="64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DC23ED" w:rsidRPr="00AB425A" w:rsidRDefault="00DC23ED">
      <w:pPr>
        <w:spacing w:line="480" w:lineRule="auto"/>
        <w:rPr>
          <w:rFonts w:ascii="仿宋_GB2312" w:eastAsia="仿宋_GB2312"/>
          <w:sz w:val="32"/>
          <w:szCs w:val="32"/>
        </w:rPr>
      </w:pPr>
    </w:p>
    <w:sectPr w:rsidR="00DC23ED" w:rsidRPr="00AB4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EF" w:rsidRDefault="00AB2EEF" w:rsidP="00AB425A">
      <w:r>
        <w:separator/>
      </w:r>
    </w:p>
  </w:endnote>
  <w:endnote w:type="continuationSeparator" w:id="0">
    <w:p w:rsidR="00AB2EEF" w:rsidRDefault="00AB2EEF" w:rsidP="00AB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EF" w:rsidRDefault="000D1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16677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D1FEF" w:rsidRPr="000D1FEF" w:rsidRDefault="000D1FEF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0D1FE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D1FEF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D1FE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83458" w:rsidRPr="00183458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Pr="000D1FE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D1FEF" w:rsidRDefault="000D1F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EF" w:rsidRDefault="000D1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EF" w:rsidRDefault="00AB2EEF" w:rsidP="00AB425A">
      <w:r>
        <w:separator/>
      </w:r>
    </w:p>
  </w:footnote>
  <w:footnote w:type="continuationSeparator" w:id="0">
    <w:p w:rsidR="00AB2EEF" w:rsidRDefault="00AB2EEF" w:rsidP="00AB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EF" w:rsidRDefault="000D1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EF" w:rsidRDefault="000D1FEF" w:rsidP="000D1FE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EF" w:rsidRDefault="000D1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Y2IwMGUwOTFkODdiMzk0YjlkMmEyYTgwYWJjNzEifQ=="/>
  </w:docVars>
  <w:rsids>
    <w:rsidRoot w:val="00DC23ED"/>
    <w:rsid w:val="000D1FEF"/>
    <w:rsid w:val="00183458"/>
    <w:rsid w:val="00394A12"/>
    <w:rsid w:val="008640B4"/>
    <w:rsid w:val="00AB2EEF"/>
    <w:rsid w:val="00AB425A"/>
    <w:rsid w:val="00DC23ED"/>
    <w:rsid w:val="226965E0"/>
    <w:rsid w:val="28B01A52"/>
    <w:rsid w:val="3B2F16FB"/>
    <w:rsid w:val="5A483BEE"/>
    <w:rsid w:val="795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01037"/>
  <w15:docId w15:val="{91EBE552-7732-4864-8EC0-2A905909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B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425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B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425A"/>
    <w:rPr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AB42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AB425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8640B4"/>
    <w:rPr>
      <w:sz w:val="18"/>
      <w:szCs w:val="18"/>
    </w:rPr>
  </w:style>
  <w:style w:type="character" w:customStyle="1" w:styleId="ab">
    <w:name w:val="批注框文本 字符"/>
    <w:basedOn w:val="a0"/>
    <w:link w:val="aa"/>
    <w:rsid w:val="00864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706HouYF</cp:lastModifiedBy>
  <cp:revision>3</cp:revision>
  <cp:lastPrinted>2022-05-20T07:01:00Z</cp:lastPrinted>
  <dcterms:created xsi:type="dcterms:W3CDTF">2022-05-20T03:12:00Z</dcterms:created>
  <dcterms:modified xsi:type="dcterms:W3CDTF">2022-05-20T07:35:00Z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22FCFD63A58146FBA93895832C1DD6CF</vt:lpwstr>
  </property>
</Properties>
</file>