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topLinePunct/>
        <w:spacing w:line="580" w:lineRule="exact"/>
        <w:rPr>
          <w:rFonts w:ascii="黑体" w:hAnsi="黑体" w:eastAsia="黑体" w:cs="Times New Roman"/>
          <w:kern w:val="0"/>
          <w:sz w:val="32"/>
          <w:szCs w:val="32"/>
        </w:rPr>
      </w:pPr>
      <w:r>
        <w:rPr>
          <w:rFonts w:hint="eastAsia" w:ascii="黑体" w:hAnsi="黑体" w:eastAsia="黑体" w:cs="黑体"/>
          <w:kern w:val="0"/>
          <w:sz w:val="32"/>
          <w:szCs w:val="32"/>
        </w:rPr>
        <w:t>附件</w:t>
      </w:r>
    </w:p>
    <w:p>
      <w:pPr>
        <w:wordWrap w:val="0"/>
        <w:topLinePunct/>
        <w:spacing w:line="580" w:lineRule="exact"/>
        <w:rPr>
          <w:rFonts w:ascii="方正小标宋_GBK" w:hAnsi="方正小标宋_GBK" w:eastAsia="方正小标宋_GBK" w:cs="Times New Roman"/>
          <w:kern w:val="0"/>
          <w:sz w:val="44"/>
          <w:szCs w:val="44"/>
        </w:rPr>
      </w:pPr>
    </w:p>
    <w:p>
      <w:pPr>
        <w:wordWrap w:val="0"/>
        <w:topLinePunct/>
        <w:spacing w:line="580" w:lineRule="exact"/>
        <w:jc w:val="center"/>
        <w:rPr>
          <w:rFonts w:ascii="方正小标宋_GBK" w:hAnsi="方正小标宋_GBK" w:eastAsia="方正小标宋_GBK" w:cs="Times New Roman"/>
          <w:kern w:val="0"/>
          <w:sz w:val="44"/>
          <w:szCs w:val="44"/>
        </w:rPr>
      </w:pPr>
      <w:bookmarkStart w:id="0" w:name="_GoBack"/>
      <w:r>
        <w:rPr>
          <w:rFonts w:hint="eastAsia" w:ascii="方正小标宋简体" w:hAnsi="方正小标宋_GBK" w:eastAsia="方正小标宋简体" w:cs="方正小标宋简体"/>
          <w:kern w:val="0"/>
          <w:sz w:val="44"/>
          <w:szCs w:val="44"/>
        </w:rPr>
        <w:t>吉林省城镇燃气行业专家管理办法</w:t>
      </w:r>
    </w:p>
    <w:bookmarkEnd w:id="0"/>
    <w:p>
      <w:pPr>
        <w:wordWrap w:val="0"/>
        <w:topLinePunct/>
        <w:spacing w:line="580" w:lineRule="exact"/>
        <w:jc w:val="center"/>
        <w:rPr>
          <w:rFonts w:hint="eastAsia" w:ascii="楷体_GB2312" w:hAnsi="楷体_GB2312" w:eastAsia="楷体_GB2312" w:cs="Times New Roman"/>
          <w:kern w:val="0"/>
          <w:sz w:val="32"/>
          <w:szCs w:val="32"/>
        </w:rPr>
      </w:pPr>
    </w:p>
    <w:p>
      <w:pPr>
        <w:wordWrap w:val="0"/>
        <w:topLinePunct/>
        <w:spacing w:line="580" w:lineRule="exact"/>
        <w:jc w:val="center"/>
        <w:rPr>
          <w:rFonts w:ascii="宋体" w:cs="Times New Roman"/>
          <w:b/>
          <w:bCs/>
          <w:kern w:val="0"/>
          <w:sz w:val="32"/>
          <w:szCs w:val="32"/>
        </w:rPr>
      </w:pPr>
      <w:r>
        <w:rPr>
          <w:rFonts w:hint="eastAsia" w:ascii="黑体" w:hAnsi="黑体" w:eastAsia="黑体" w:cs="黑体"/>
          <w:kern w:val="0"/>
          <w:sz w:val="32"/>
          <w:szCs w:val="32"/>
        </w:rPr>
        <w:t>第一章</w:t>
      </w:r>
      <w:r>
        <w:rPr>
          <w:rFonts w:ascii="黑体" w:hAnsi="黑体" w:eastAsia="黑体" w:cs="黑体"/>
          <w:kern w:val="0"/>
          <w:sz w:val="32"/>
          <w:szCs w:val="32"/>
        </w:rPr>
        <w:t xml:space="preserve"> </w:t>
      </w:r>
      <w:r>
        <w:rPr>
          <w:rFonts w:hint="eastAsia" w:ascii="黑体" w:hAnsi="黑体" w:eastAsia="黑体" w:cs="黑体"/>
          <w:kern w:val="0"/>
          <w:sz w:val="32"/>
          <w:szCs w:val="32"/>
        </w:rPr>
        <w:t>总</w:t>
      </w:r>
      <w:r>
        <w:rPr>
          <w:rFonts w:ascii="黑体" w:hAnsi="黑体" w:eastAsia="黑体" w:cs="黑体"/>
          <w:kern w:val="0"/>
          <w:sz w:val="32"/>
          <w:szCs w:val="32"/>
        </w:rPr>
        <w:t xml:space="preserve"> </w:t>
      </w:r>
      <w:r>
        <w:rPr>
          <w:rFonts w:hint="eastAsia" w:ascii="黑体" w:hAnsi="黑体" w:eastAsia="黑体" w:cs="黑体"/>
          <w:kern w:val="0"/>
          <w:sz w:val="32"/>
          <w:szCs w:val="32"/>
        </w:rPr>
        <w:t>则</w:t>
      </w:r>
    </w:p>
    <w:p>
      <w:pPr>
        <w:wordWrap w:val="0"/>
        <w:topLinePunct/>
        <w:spacing w:line="580" w:lineRule="exact"/>
        <w:ind w:firstLine="643" w:firstLineChars="200"/>
        <w:rPr>
          <w:rFonts w:ascii="仿宋_GB2312" w:hAnsi="仿宋_GB2312" w:eastAsia="仿宋_GB2312" w:cs="Times New Roman"/>
          <w:b/>
          <w:bCs/>
          <w:kern w:val="0"/>
          <w:sz w:val="32"/>
          <w:szCs w:val="32"/>
        </w:rPr>
      </w:pP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第一条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为进一步提升全省城镇燃气行业管理水平和应急处置能力，充分发挥专家的参谋指导作用。依据《中华人民共和国突发事件应对法》《</w:t>
      </w:r>
      <w:r>
        <w:rPr>
          <w:rFonts w:hint="eastAsia" w:ascii="仿宋_GB2312" w:hAnsi="仿宋_GB2312" w:eastAsia="仿宋_GB2312" w:cs="仿宋_GB2312"/>
          <w:color w:val="auto"/>
          <w:kern w:val="0"/>
          <w:sz w:val="32"/>
          <w:szCs w:val="32"/>
          <w:u w:val="none"/>
        </w:rPr>
        <w:t>城镇燃气管理条例</w:t>
      </w:r>
      <w:r>
        <w:rPr>
          <w:rFonts w:hint="eastAsia" w:ascii="仿宋_GB2312" w:hAnsi="仿宋_GB2312" w:eastAsia="仿宋_GB2312" w:cs="仿宋_GB2312"/>
          <w:kern w:val="0"/>
          <w:sz w:val="32"/>
          <w:szCs w:val="32"/>
        </w:rPr>
        <w:t>》《吉林省安全生产条例》《吉林省燃气管理条例》《吉林省安全生产委员会关于印发〈建立专家参与安全风险防范工作机制的意见（试行）〉的通知》等法律法规和有关规定，结合我省实际，制定本办法。</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第二条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本办法适用于我省城镇燃气行业专家的聘用和管理等工作。</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 xml:space="preserve">第三条 </w:t>
      </w:r>
      <w:r>
        <w:rPr>
          <w:rFonts w:hint="eastAsia" w:ascii="仿宋_GB2312" w:hAnsi="仿宋_GB2312" w:eastAsia="仿宋_GB2312" w:cs="仿宋_GB2312"/>
          <w:kern w:val="0"/>
          <w:sz w:val="32"/>
          <w:szCs w:val="32"/>
        </w:rPr>
        <w:t>吉林省住房和城乡建设厅（以下简称“省住建厅”）负责本省城镇燃气行业专家库的建立、管理等日常工作。</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第四条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本办法所称城镇燃气专家是指在城镇燃气领域</w:t>
      </w:r>
      <w:r>
        <w:rPr>
          <w:rFonts w:hint="eastAsia" w:ascii="仿宋_GB2312" w:hAnsi="仿宋_GB2312" w:eastAsia="仿宋_GB2312" w:cs="仿宋_GB2312"/>
          <w:sz w:val="32"/>
          <w:szCs w:val="32"/>
          <w:shd w:val="clear" w:color="auto" w:fill="FFFFFF"/>
        </w:rPr>
        <w:t>从事燃气生产、经营、设计、施工、咨询、研究等相关工作</w:t>
      </w:r>
      <w:r>
        <w:rPr>
          <w:rFonts w:hint="eastAsia" w:ascii="仿宋_GB2312" w:hAnsi="仿宋_GB2312" w:eastAsia="仿宋_GB2312" w:cs="仿宋_GB2312"/>
          <w:kern w:val="0"/>
          <w:sz w:val="32"/>
          <w:szCs w:val="32"/>
        </w:rPr>
        <w:t>，具有较高的专业理论水平和丰富的实践经验，并经省住建厅聘用的专业人员。</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第五条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选聘专家应当遵循公开选聘、自愿申请、择优选择、动态调整的原则。</w:t>
      </w:r>
    </w:p>
    <w:p>
      <w:pPr>
        <w:wordWrap w:val="0"/>
        <w:topLinePunct/>
        <w:spacing w:line="580" w:lineRule="exact"/>
        <w:ind w:firstLine="640" w:firstLineChars="200"/>
        <w:rPr>
          <w:rFonts w:ascii="黑体" w:hAnsi="黑体" w:eastAsia="黑体" w:cs="Times New Roman"/>
          <w:kern w:val="0"/>
          <w:sz w:val="32"/>
          <w:szCs w:val="32"/>
        </w:rPr>
      </w:pPr>
    </w:p>
    <w:p>
      <w:pPr>
        <w:wordWrap w:val="0"/>
        <w:topLinePunct/>
        <w:spacing w:line="580" w:lineRule="exact"/>
        <w:jc w:val="center"/>
        <w:rPr>
          <w:rFonts w:ascii="黑体" w:hAnsi="黑体" w:eastAsia="黑体" w:cs="Times New Roman"/>
          <w:kern w:val="0"/>
          <w:sz w:val="32"/>
          <w:szCs w:val="32"/>
        </w:rPr>
      </w:pPr>
      <w:r>
        <w:rPr>
          <w:rFonts w:hint="eastAsia" w:ascii="黑体" w:hAnsi="黑体" w:eastAsia="黑体" w:cs="黑体"/>
          <w:kern w:val="0"/>
          <w:sz w:val="32"/>
          <w:szCs w:val="32"/>
        </w:rPr>
        <w:t>第二章</w:t>
      </w:r>
      <w:r>
        <w:rPr>
          <w:rFonts w:ascii="黑体" w:hAnsi="黑体" w:eastAsia="黑体" w:cs="黑体"/>
          <w:kern w:val="0"/>
          <w:sz w:val="32"/>
          <w:szCs w:val="32"/>
        </w:rPr>
        <w:t xml:space="preserve"> </w:t>
      </w:r>
      <w:r>
        <w:rPr>
          <w:rFonts w:hint="eastAsia" w:ascii="黑体" w:hAnsi="黑体" w:eastAsia="黑体" w:cs="黑体"/>
          <w:kern w:val="0"/>
          <w:sz w:val="32"/>
          <w:szCs w:val="32"/>
        </w:rPr>
        <w:t>专家选聘条件及职责</w:t>
      </w:r>
    </w:p>
    <w:p>
      <w:pPr>
        <w:wordWrap w:val="0"/>
        <w:topLinePunct/>
        <w:spacing w:line="580" w:lineRule="exact"/>
        <w:ind w:firstLine="643" w:firstLineChars="200"/>
        <w:rPr>
          <w:rFonts w:ascii="仿宋_GB2312" w:hAnsi="仿宋_GB2312" w:eastAsia="仿宋_GB2312" w:cs="Times New Roman"/>
          <w:b/>
          <w:bCs/>
          <w:kern w:val="0"/>
          <w:sz w:val="32"/>
          <w:szCs w:val="32"/>
        </w:rPr>
      </w:pPr>
    </w:p>
    <w:p>
      <w:pPr>
        <w:wordWrap w:val="0"/>
        <w:topLinePunct/>
        <w:spacing w:line="580" w:lineRule="exact"/>
        <w:ind w:firstLine="643"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 xml:space="preserve">第六条 </w:t>
      </w:r>
      <w:r>
        <w:rPr>
          <w:rFonts w:hint="eastAsia" w:ascii="仿宋_GB2312" w:hAnsi="仿宋_GB2312" w:eastAsia="仿宋_GB2312" w:cs="仿宋_GB2312"/>
          <w:kern w:val="0"/>
          <w:sz w:val="32"/>
          <w:szCs w:val="32"/>
        </w:rPr>
        <w:t>专家选聘基本条件</w:t>
      </w:r>
    </w:p>
    <w:p>
      <w:pPr>
        <w:wordWrap w:val="0"/>
        <w:topLinePunct/>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认真贯彻执行党的路线、方针、政策，具有良好的政治素质、职业道德，作风正派、学术严谨、业务精通，熟悉本专业领域发展研究动态，遵守国家法律法规和工作纪律，坚持实事求是、客观公正的科学态度，深入实际调查研究，能认真、公正、诚实、廉洁地履行专家职责；</w:t>
      </w:r>
    </w:p>
    <w:p>
      <w:pPr>
        <w:wordWrap w:val="0"/>
        <w:topLinePunct/>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shd w:val="clear" w:color="auto" w:fill="FFFFFF"/>
        </w:rPr>
        <w:t>从事城镇燃气生产经营、勘察设计、施工监理、安全评价、科学研究等相关工作，熟悉城镇燃气行业政策、工程设计、安全管理、生产经营、法律法规、标准规范、</w:t>
      </w:r>
      <w:r>
        <w:rPr>
          <w:rFonts w:hint="eastAsia" w:ascii="仿宋_GB2312" w:hAnsi="仿宋_GB2312" w:eastAsia="仿宋_GB2312" w:cs="仿宋_GB2312"/>
          <w:sz w:val="32"/>
          <w:szCs w:val="32"/>
        </w:rPr>
        <w:t>应急事故调查与处置</w:t>
      </w:r>
      <w:r>
        <w:rPr>
          <w:rFonts w:hint="eastAsia" w:ascii="仿宋_GB2312" w:hAnsi="仿宋_GB2312" w:eastAsia="仿宋_GB2312" w:cs="仿宋_GB2312"/>
          <w:sz w:val="32"/>
          <w:szCs w:val="32"/>
          <w:shd w:val="clear" w:color="auto" w:fill="FFFFFF"/>
        </w:rPr>
        <w:t>等，</w:t>
      </w:r>
      <w:r>
        <w:rPr>
          <w:rFonts w:hint="eastAsia" w:ascii="仿宋_GB2312" w:hAnsi="仿宋_GB2312" w:eastAsia="仿宋_GB2312" w:cs="仿宋_GB2312"/>
          <w:kern w:val="0"/>
          <w:sz w:val="32"/>
          <w:szCs w:val="32"/>
        </w:rPr>
        <w:t>在业界具有一定权威性、专业性和影响力；</w:t>
      </w:r>
    </w:p>
    <w:p>
      <w:pPr>
        <w:wordWrap w:val="0"/>
        <w:topLinePunct/>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kern w:val="0"/>
          <w:sz w:val="32"/>
          <w:szCs w:val="32"/>
        </w:rPr>
        <w:t>具有大专及以上学历，</w:t>
      </w:r>
      <w:r>
        <w:rPr>
          <w:rFonts w:hint="eastAsia" w:ascii="仿宋_GB2312" w:hAnsi="仿宋_GB2312" w:eastAsia="仿宋_GB2312" w:cs="仿宋_GB2312"/>
          <w:sz w:val="32"/>
          <w:szCs w:val="32"/>
        </w:rPr>
        <w:t>从事相关专业工作10年以上；</w:t>
      </w:r>
    </w:p>
    <w:p>
      <w:pPr>
        <w:wordWrap w:val="0"/>
        <w:topLinePunct/>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（四）具有城镇燃气或相关领域高级及以上专业技术职称，或具有丰富实践经验和突出贡献的专业技术中级职称；</w:t>
      </w:r>
    </w:p>
    <w:p>
      <w:pPr>
        <w:wordWrap w:val="0"/>
        <w:topLinePunct/>
        <w:spacing w:line="58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（五）</w:t>
      </w:r>
      <w:r>
        <w:rPr>
          <w:rFonts w:hint="eastAsia" w:ascii="仿宋_GB2312" w:hAnsi="仿宋_GB2312" w:eastAsia="仿宋_GB2312" w:cs="仿宋_GB2312"/>
          <w:kern w:val="0"/>
          <w:sz w:val="32"/>
          <w:szCs w:val="32"/>
        </w:rPr>
        <w:t>未因对城镇燃气生产安全事故负有责任而受到行政处罚，近</w:t>
      </w:r>
      <w:r>
        <w:rPr>
          <w:rFonts w:ascii="仿宋_GB2312" w:hAnsi="仿宋_GB2312" w:eastAsia="仿宋_GB2312" w:cs="仿宋_GB2312"/>
          <w:kern w:val="0"/>
          <w:sz w:val="32"/>
          <w:szCs w:val="32"/>
        </w:rPr>
        <w:t>3</w:t>
      </w:r>
      <w:r>
        <w:rPr>
          <w:rFonts w:hint="eastAsia" w:ascii="仿宋_GB2312" w:hAnsi="仿宋_GB2312" w:eastAsia="仿宋_GB2312" w:cs="仿宋_GB2312"/>
          <w:kern w:val="0"/>
          <w:sz w:val="32"/>
          <w:szCs w:val="32"/>
        </w:rPr>
        <w:t>年内未受到我省</w:t>
      </w:r>
      <w:r>
        <w:rPr>
          <w:rFonts w:hint="eastAsia" w:ascii="仿宋_GB2312" w:hAnsi="仿宋_GB2312" w:eastAsia="仿宋_GB2312" w:cs="仿宋_GB2312"/>
          <w:sz w:val="32"/>
          <w:szCs w:val="32"/>
        </w:rPr>
        <w:t>城镇燃气管理部门</w:t>
      </w:r>
      <w:r>
        <w:rPr>
          <w:rFonts w:hint="eastAsia" w:ascii="仿宋_GB2312" w:hAnsi="仿宋_GB2312" w:eastAsia="仿宋_GB2312" w:cs="仿宋_GB2312"/>
          <w:kern w:val="0"/>
          <w:sz w:val="32"/>
          <w:szCs w:val="32"/>
        </w:rPr>
        <w:t>行政处罚，无不良行为记录；</w:t>
      </w:r>
    </w:p>
    <w:p>
      <w:pPr>
        <w:wordWrap w:val="0"/>
        <w:topLinePunct/>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（六）身体健康、年龄原则上不超过65岁，有丰富实践经验的专家年龄可适当放宽；</w:t>
      </w:r>
    </w:p>
    <w:p>
      <w:pPr>
        <w:pStyle w:val="2"/>
        <w:wordWrap w:val="0"/>
        <w:topLinePunct/>
        <w:spacing w:line="580" w:lineRule="exact"/>
        <w:ind w:firstLine="640"/>
        <w:rPr>
          <w:rFonts w:eastAsia="仿宋_GB2312"/>
        </w:rPr>
      </w:pPr>
      <w:r>
        <w:rPr>
          <w:rFonts w:hint="eastAsia" w:ascii="仿宋_GB2312" w:hAnsi="仿宋_GB2312" w:eastAsia="仿宋_GB2312" w:cs="仿宋_GB2312"/>
          <w:sz w:val="32"/>
          <w:szCs w:val="32"/>
        </w:rPr>
        <w:t>（七）各地城镇燃气管理部门在职工作人员不得申请入库；</w:t>
      </w:r>
    </w:p>
    <w:p>
      <w:pPr>
        <w:pStyle w:val="8"/>
        <w:wordWrap w:val="0"/>
        <w:topLinePunct/>
        <w:spacing w:before="0" w:after="0" w:line="580" w:lineRule="exact"/>
        <w:ind w:firstLine="640" w:firstLineChars="200"/>
        <w:jc w:val="left"/>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长期在我省从事城镇燃气行业相关工作的优秀外埠企业的安全管理和专业技术人员也可参与选聘。</w:t>
      </w:r>
    </w:p>
    <w:p>
      <w:pPr>
        <w:wordWrap w:val="0"/>
        <w:topLinePunct/>
        <w:spacing w:line="580" w:lineRule="exact"/>
        <w:ind w:firstLine="643"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第七条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专家职责：</w:t>
      </w:r>
    </w:p>
    <w:p>
      <w:pPr>
        <w:wordWrap w:val="0"/>
        <w:topLinePunct/>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（一）提供城镇燃气行业政策咨询，协助做好舆论引导和舆情应对；</w:t>
      </w:r>
    </w:p>
    <w:p>
      <w:pPr>
        <w:wordWrap w:val="0"/>
        <w:topLinePunct/>
        <w:spacing w:line="58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（二）参与城镇燃气工程建设所采用的新技术、新方法和措施的技术论证；</w:t>
      </w:r>
    </w:p>
    <w:p>
      <w:pPr>
        <w:wordWrap w:val="0"/>
        <w:topLinePunct/>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（三）参与城镇燃气安全生产、应急体系、科普宣教等体系的建设；</w:t>
      </w:r>
    </w:p>
    <w:p>
      <w:pPr>
        <w:wordWrap w:val="0"/>
        <w:topLinePunct/>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（四）参与城镇燃气突发事件应急处置、事故调查、安全宣传等相关工作；</w:t>
      </w:r>
    </w:p>
    <w:p>
      <w:pPr>
        <w:wordWrap w:val="0"/>
        <w:topLinePunct/>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（五）参与城镇燃气风险管控、隐患排查、安全检查等工作，提供城镇燃气安全生产运行、技术支撑与应急管理等方面服务；</w:t>
      </w:r>
    </w:p>
    <w:p>
      <w:pPr>
        <w:wordWrap w:val="0"/>
        <w:topLinePunct/>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（六）参与城镇燃气的专题调研、培训授课、学术交流、课题评审、项目论证、科技成果鉴定、技术合作等相关工作；</w:t>
      </w:r>
    </w:p>
    <w:p>
      <w:pPr>
        <w:wordWrap w:val="0"/>
        <w:topLinePunct/>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（七）完成省政府和省住建厅指派的其他相关工作。</w:t>
      </w:r>
    </w:p>
    <w:p>
      <w:pPr>
        <w:wordWrap w:val="0"/>
        <w:topLinePunct/>
        <w:spacing w:line="580" w:lineRule="exact"/>
        <w:jc w:val="center"/>
        <w:rPr>
          <w:rFonts w:hint="eastAsia" w:ascii="黑体" w:hAnsi="黑体" w:eastAsia="黑体" w:cs="黑体"/>
          <w:kern w:val="0"/>
          <w:sz w:val="32"/>
          <w:szCs w:val="32"/>
        </w:rPr>
      </w:pPr>
    </w:p>
    <w:p>
      <w:pPr>
        <w:wordWrap w:val="0"/>
        <w:topLinePunct/>
        <w:spacing w:line="580" w:lineRule="exact"/>
        <w:jc w:val="center"/>
        <w:rPr>
          <w:rFonts w:ascii="宋体" w:cs="Times New Roman"/>
          <w:b/>
          <w:bCs/>
          <w:kern w:val="0"/>
          <w:sz w:val="32"/>
          <w:szCs w:val="32"/>
        </w:rPr>
      </w:pPr>
      <w:r>
        <w:rPr>
          <w:rFonts w:hint="eastAsia" w:ascii="黑体" w:hAnsi="黑体" w:eastAsia="黑体" w:cs="黑体"/>
          <w:kern w:val="0"/>
          <w:sz w:val="32"/>
          <w:szCs w:val="32"/>
        </w:rPr>
        <w:t>第三章</w:t>
      </w:r>
      <w:r>
        <w:rPr>
          <w:rFonts w:ascii="黑体" w:hAnsi="黑体" w:eastAsia="黑体" w:cs="黑体"/>
          <w:kern w:val="0"/>
          <w:sz w:val="32"/>
          <w:szCs w:val="32"/>
        </w:rPr>
        <w:t xml:space="preserve"> </w:t>
      </w:r>
      <w:r>
        <w:rPr>
          <w:rFonts w:hint="eastAsia" w:ascii="黑体" w:hAnsi="黑体" w:eastAsia="黑体" w:cs="黑体"/>
          <w:kern w:val="0"/>
          <w:sz w:val="32"/>
          <w:szCs w:val="32"/>
        </w:rPr>
        <w:t>专家选聘</w:t>
      </w:r>
    </w:p>
    <w:p>
      <w:pPr>
        <w:wordWrap w:val="0"/>
        <w:topLinePunct/>
        <w:spacing w:line="580" w:lineRule="exact"/>
        <w:ind w:firstLine="643" w:firstLineChars="200"/>
        <w:rPr>
          <w:rFonts w:ascii="仿宋_GB2312" w:hAnsi="仿宋_GB2312" w:eastAsia="仿宋_GB2312" w:cs="Times New Roman"/>
          <w:b/>
          <w:bCs/>
          <w:kern w:val="0"/>
          <w:sz w:val="32"/>
          <w:szCs w:val="32"/>
        </w:rPr>
      </w:pP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第八条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省住建厅通过单位（专家）推荐和个人申请相结合的方式公开选聘专家。</w:t>
      </w:r>
    </w:p>
    <w:p>
      <w:pPr>
        <w:wordWrap w:val="0"/>
        <w:topLinePunct/>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（一）各地城镇燃气管理部门、事业单位、高等院校、科研院所、专业服务机构、大型企业、行业协会等单位在征得本人同意的情况下，可推荐其人选入库，</w:t>
      </w:r>
      <w:r>
        <w:rPr>
          <w:rFonts w:hint="eastAsia" w:ascii="仿宋_GB2312" w:hAnsi="仿宋_GB2312" w:eastAsia="仿宋_GB2312" w:cs="仿宋_GB2312"/>
          <w:kern w:val="0"/>
          <w:sz w:val="32"/>
          <w:szCs w:val="32"/>
        </w:rPr>
        <w:t>退休人员也可由原单位推荐</w:t>
      </w:r>
      <w:r>
        <w:rPr>
          <w:rFonts w:hint="eastAsia" w:ascii="仿宋_GB2312" w:hAnsi="仿宋_GB2312" w:eastAsia="仿宋_GB2312" w:cs="仿宋_GB2312"/>
          <w:sz w:val="32"/>
          <w:szCs w:val="32"/>
        </w:rPr>
        <w:t>；</w:t>
      </w:r>
    </w:p>
    <w:p>
      <w:pPr>
        <w:wordWrap w:val="0"/>
        <w:topLinePunct/>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（二）已在库内且在库时间3年以上的专家，可以个人名义推荐其他人选入库；</w:t>
      </w:r>
    </w:p>
    <w:p>
      <w:pPr>
        <w:wordWrap w:val="0"/>
        <w:topLinePunct/>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（三）有志于服务我省城镇燃气行业工作的人员可以个人名义申请入库。</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第九条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选聘专家的程序包括：</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（一）发布选聘通知。省住建厅在厅网站发布选聘通知，明确选聘条件、申请时间、方式、流程和所需提交的资料等；</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（二）入库申报。符合本办法第六条规定条件，并有应聘意向的申请人按照通知要求如实填写《吉林省城镇燃气行业专家推荐申请表》，并提交相关证明材料，属于单位推荐的应加盖单位公章；</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（三）资格审查。省住建厅通过对申报资料及能力综合评定，确定符合本办法规定的人选入选专家库；对申报材料弄虚作假，经查证属实的，将取消入选专家资格，并通报推荐单位；</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（四）签署承诺书。入库专家接受聘任时，应由本人签署《吉林省城镇燃气行业专家承诺书》；</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（五）发放聘书。省住建厅对专家库所有入库专家建立档案、颁发城镇燃气行业专家聘书，并对专家聘书实行统一编号管理。</w:t>
      </w:r>
    </w:p>
    <w:p>
      <w:pPr>
        <w:wordWrap w:val="0"/>
        <w:topLinePunct/>
        <w:spacing w:line="580" w:lineRule="exact"/>
        <w:ind w:firstLine="643" w:firstLineChars="200"/>
        <w:rPr>
          <w:rFonts w:ascii="仿宋" w:hAnsi="仿宋" w:eastAsia="仿宋" w:cs="Times New Roman"/>
          <w:kern w:val="0"/>
          <w:sz w:val="32"/>
          <w:szCs w:val="32"/>
        </w:rPr>
      </w:pPr>
      <w:r>
        <w:rPr>
          <w:rFonts w:hint="eastAsia" w:ascii="仿宋_GB2312" w:hAnsi="仿宋_GB2312" w:eastAsia="仿宋_GB2312" w:cs="仿宋_GB2312"/>
          <w:b/>
          <w:bCs/>
          <w:kern w:val="0"/>
          <w:sz w:val="32"/>
          <w:szCs w:val="32"/>
        </w:rPr>
        <w:t>第十条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专家实行聘任制，聘期为三年，满三年后经过审查合格，可延续专家库专家资格。</w:t>
      </w:r>
    </w:p>
    <w:p>
      <w:pPr>
        <w:wordWrap w:val="0"/>
        <w:topLinePunct/>
        <w:spacing w:line="580" w:lineRule="exact"/>
        <w:ind w:firstLine="640" w:firstLineChars="200"/>
        <w:rPr>
          <w:rFonts w:ascii="黑体" w:hAnsi="黑体" w:eastAsia="黑体" w:cs="Times New Roman"/>
          <w:kern w:val="0"/>
          <w:sz w:val="32"/>
          <w:szCs w:val="32"/>
        </w:rPr>
      </w:pPr>
    </w:p>
    <w:p>
      <w:pPr>
        <w:wordWrap w:val="0"/>
        <w:topLinePunct/>
        <w:spacing w:line="580" w:lineRule="exact"/>
        <w:jc w:val="center"/>
        <w:rPr>
          <w:rFonts w:ascii="宋体" w:cs="宋体"/>
          <w:b/>
          <w:bCs/>
          <w:kern w:val="0"/>
          <w:sz w:val="32"/>
          <w:szCs w:val="32"/>
        </w:rPr>
      </w:pPr>
      <w:r>
        <w:rPr>
          <w:rFonts w:hint="eastAsia" w:ascii="黑体" w:hAnsi="黑体" w:eastAsia="黑体" w:cs="黑体"/>
          <w:kern w:val="0"/>
          <w:sz w:val="32"/>
          <w:szCs w:val="32"/>
        </w:rPr>
        <w:t>第四章</w:t>
      </w:r>
      <w:r>
        <w:rPr>
          <w:rFonts w:ascii="黑体" w:hAnsi="黑体" w:eastAsia="黑体" w:cs="黑体"/>
          <w:kern w:val="0"/>
          <w:sz w:val="32"/>
          <w:szCs w:val="32"/>
        </w:rPr>
        <w:t xml:space="preserve"> </w:t>
      </w:r>
      <w:r>
        <w:rPr>
          <w:rFonts w:hint="eastAsia" w:ascii="黑体" w:hAnsi="黑体" w:eastAsia="黑体" w:cs="黑体"/>
          <w:kern w:val="0"/>
          <w:sz w:val="32"/>
          <w:szCs w:val="32"/>
        </w:rPr>
        <w:t>权利和义务</w:t>
      </w:r>
    </w:p>
    <w:p>
      <w:pPr>
        <w:wordWrap w:val="0"/>
        <w:topLinePunct/>
        <w:spacing w:line="580" w:lineRule="exact"/>
        <w:ind w:firstLine="643" w:firstLineChars="200"/>
        <w:rPr>
          <w:rFonts w:ascii="仿宋_GB2312" w:hAnsi="仿宋_GB2312" w:eastAsia="仿宋_GB2312" w:cs="Times New Roman"/>
          <w:b/>
          <w:bCs/>
          <w:kern w:val="0"/>
          <w:sz w:val="32"/>
          <w:szCs w:val="32"/>
        </w:rPr>
      </w:pP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第十一条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专家权利包括：</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（一）根据个人意愿和时间安排接受邀请，在城镇燃气行业相关工作中担任专家；</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（二）提出专家意见时，不受任何部门、单位和个人的干预，并享有保留个人意见和建议的权利；</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（三）对在执行委托工作中发现的安全生产违法违规行为和事故隐患，有权向各级城镇燃气管理部门报告；</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（四）自愿申请退出专家库。</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第十二条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专家应履行的义务包括：</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（一）严格遵守与其职责相关的法律法规、规章、规范性文件及本管理办法的各项规定；</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（二）参加和协助</w:t>
      </w:r>
      <w:r>
        <w:rPr>
          <w:rFonts w:hint="eastAsia" w:ascii="仿宋_GB2312" w:hAnsi="仿宋_GB2312" w:eastAsia="仿宋_GB2312" w:cs="仿宋_GB2312"/>
          <w:sz w:val="32"/>
          <w:szCs w:val="32"/>
        </w:rPr>
        <w:t>城镇燃气管理部门</w:t>
      </w:r>
      <w:r>
        <w:rPr>
          <w:rFonts w:hint="eastAsia" w:ascii="仿宋_GB2312" w:hAnsi="仿宋_GB2312" w:eastAsia="仿宋_GB2312" w:cs="仿宋_GB2312"/>
          <w:kern w:val="0"/>
          <w:sz w:val="32"/>
          <w:szCs w:val="32"/>
        </w:rPr>
        <w:t>组织的各项活动，并认真履行专家职责；</w:t>
      </w:r>
    </w:p>
    <w:p>
      <w:pPr>
        <w:wordWrap w:val="0"/>
        <w:topLinePunct/>
        <w:spacing w:line="58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（三）参加专家活动时，遵守职业道德、工作纪律，保守工作秘密，公正廉洁，主动或应相关方申请回避与自己有利害关系的活动；</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（四）对本人提出的意见、建议及产生的后果负责；</w:t>
      </w:r>
    </w:p>
    <w:p>
      <w:pPr>
        <w:wordWrap w:val="0"/>
        <w:topLinePunct/>
        <w:spacing w:line="58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（五）自觉维护专家的信誉和社会形象，严禁出现违法违规行为；</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（六）配合完善个人信息档案库；</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（七）参加城镇燃气管理部门组织的业务培训。</w:t>
      </w:r>
    </w:p>
    <w:p>
      <w:pPr>
        <w:wordWrap w:val="0"/>
        <w:topLinePunct/>
        <w:spacing w:line="580" w:lineRule="exact"/>
        <w:ind w:firstLine="640"/>
        <w:rPr>
          <w:rFonts w:hint="eastAsia" w:eastAsia="仿宋_GB2312"/>
        </w:rPr>
      </w:pPr>
      <w:r>
        <w:rPr>
          <w:rFonts w:hint="eastAsia" w:ascii="仿宋_GB2312" w:hAnsi="仿宋_GB2312" w:eastAsia="仿宋_GB2312" w:cs="仿宋_GB2312"/>
          <w:kern w:val="0"/>
          <w:sz w:val="32"/>
          <w:szCs w:val="32"/>
        </w:rPr>
        <w:t>专家接受有关部门和企事业单位委托时，可实行有偿服务。本着“谁使用、谁负责”的原则，有关部门和企事业单位聘请专家时，相关费用由委托单位承担。</w:t>
      </w:r>
    </w:p>
    <w:p>
      <w:pPr>
        <w:wordWrap w:val="0"/>
        <w:topLinePunct/>
        <w:spacing w:line="580" w:lineRule="exact"/>
        <w:ind w:firstLine="640" w:firstLineChars="200"/>
        <w:rPr>
          <w:rFonts w:ascii="黑体" w:hAnsi="黑体" w:eastAsia="黑体" w:cs="Times New Roman"/>
          <w:kern w:val="0"/>
          <w:sz w:val="32"/>
          <w:szCs w:val="32"/>
        </w:rPr>
      </w:pPr>
    </w:p>
    <w:p>
      <w:pPr>
        <w:wordWrap w:val="0"/>
        <w:topLinePunct/>
        <w:spacing w:line="580" w:lineRule="exact"/>
        <w:jc w:val="center"/>
        <w:rPr>
          <w:rFonts w:ascii="黑体" w:hAnsi="黑体" w:eastAsia="黑体" w:cs="Times New Roman"/>
          <w:kern w:val="0"/>
          <w:sz w:val="32"/>
          <w:szCs w:val="32"/>
        </w:rPr>
      </w:pPr>
      <w:r>
        <w:rPr>
          <w:rFonts w:hint="eastAsia" w:ascii="黑体" w:hAnsi="黑体" w:eastAsia="黑体" w:cs="黑体"/>
          <w:kern w:val="0"/>
          <w:sz w:val="32"/>
          <w:szCs w:val="32"/>
        </w:rPr>
        <w:t>第五章</w:t>
      </w:r>
      <w:r>
        <w:rPr>
          <w:rFonts w:ascii="黑体" w:hAnsi="黑体" w:eastAsia="黑体" w:cs="黑体"/>
          <w:kern w:val="0"/>
          <w:sz w:val="32"/>
          <w:szCs w:val="32"/>
        </w:rPr>
        <w:t xml:space="preserve"> </w:t>
      </w:r>
      <w:r>
        <w:rPr>
          <w:rFonts w:hint="eastAsia" w:ascii="黑体" w:hAnsi="黑体" w:eastAsia="黑体" w:cs="黑体"/>
          <w:kern w:val="0"/>
          <w:sz w:val="32"/>
          <w:szCs w:val="32"/>
        </w:rPr>
        <w:t>专家管理</w:t>
      </w:r>
    </w:p>
    <w:p>
      <w:pPr>
        <w:wordWrap w:val="0"/>
        <w:topLinePunct/>
        <w:spacing w:line="580" w:lineRule="exact"/>
        <w:ind w:firstLine="643" w:firstLineChars="200"/>
        <w:rPr>
          <w:rFonts w:ascii="仿宋_GB2312" w:hAnsi="仿宋_GB2312" w:eastAsia="仿宋_GB2312" w:cs="Times New Roman"/>
          <w:b/>
          <w:bCs/>
          <w:kern w:val="0"/>
          <w:sz w:val="32"/>
          <w:szCs w:val="32"/>
        </w:rPr>
      </w:pP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第十三条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专家库实行全省资源共享，各级城镇燃气管理部门和有关单位需要聘请专家时，可在专家库中选取符合要求的专家。</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第十四条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专家应严格遵守本办法，工作存在下列失职或违反工作要求的行为将给予告诫。</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（一）在从事专家活动中擅离职守，不遵守工作纪律的；</w:t>
      </w:r>
    </w:p>
    <w:p>
      <w:pPr>
        <w:wordWrap w:val="0"/>
        <w:topLinePunct/>
        <w:spacing w:line="58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（二）存在与被评审项目有利害关系，未主动回避的；</w:t>
      </w:r>
    </w:p>
    <w:p>
      <w:pPr>
        <w:pStyle w:val="2"/>
        <w:wordWrap w:val="0"/>
        <w:topLinePunct/>
        <w:spacing w:line="580" w:lineRule="exact"/>
        <w:ind w:firstLine="640"/>
        <w:rPr>
          <w:rFonts w:ascii="仿宋_GB2312" w:hAnsi="仿宋_GB2312" w:eastAsia="仿宋_GB2312"/>
          <w:kern w:val="0"/>
          <w:sz w:val="32"/>
          <w:szCs w:val="32"/>
        </w:rPr>
      </w:pPr>
      <w:r>
        <w:rPr>
          <w:rFonts w:hint="eastAsia" w:ascii="仿宋_GB2312" w:hAnsi="仿宋_GB2312" w:eastAsia="仿宋_GB2312" w:cs="仿宋_GB2312"/>
          <w:kern w:val="0"/>
          <w:sz w:val="32"/>
          <w:szCs w:val="32"/>
        </w:rPr>
        <w:t>（三）存在与被检查单位有利害关系，未主动告知的。</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第十五条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专家存在以下情形之一的，予以取消专家资格。</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（一）在一个任期内，累计告诫</w:t>
      </w:r>
      <w:r>
        <w:rPr>
          <w:rFonts w:ascii="仿宋_GB2312" w:hAnsi="仿宋_GB2312" w:eastAsia="仿宋_GB2312" w:cs="仿宋_GB2312"/>
          <w:kern w:val="0"/>
          <w:sz w:val="32"/>
          <w:szCs w:val="32"/>
        </w:rPr>
        <w:t>3</w:t>
      </w:r>
      <w:r>
        <w:rPr>
          <w:rFonts w:hint="eastAsia" w:ascii="仿宋_GB2312" w:hAnsi="仿宋_GB2312" w:eastAsia="仿宋_GB2312" w:cs="仿宋_GB2312"/>
          <w:kern w:val="0"/>
          <w:sz w:val="32"/>
          <w:szCs w:val="32"/>
        </w:rPr>
        <w:t>次；</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（二）受到重大行政处罚；</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（三）受到刑事处罚；</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（四）利用专家身份谋取不正当利益，在工作中徇私舞弊、违背职业道德，在专家活动中收受被检查对象财物或好处；</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（五）未认真履行专家职责，弄虚作假，造成重大经济损失或不良社会影响；</w:t>
      </w:r>
    </w:p>
    <w:p>
      <w:pPr>
        <w:wordWrap w:val="0"/>
        <w:topLinePunct/>
        <w:spacing w:line="58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（六）窃取或泄漏有关机密、专利、保密技术以及其他不宜公开信息；</w:t>
      </w:r>
    </w:p>
    <w:p>
      <w:pPr>
        <w:wordWrap w:val="0"/>
        <w:topLinePunct/>
        <w:spacing w:line="58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（七）除个人客观原因外，拒绝接受派遣超过</w:t>
      </w:r>
      <w:r>
        <w:rPr>
          <w:rFonts w:ascii="仿宋_GB2312" w:hAnsi="仿宋_GB2312" w:eastAsia="仿宋_GB2312" w:cs="仿宋_GB2312"/>
          <w:kern w:val="0"/>
          <w:sz w:val="32"/>
          <w:szCs w:val="32"/>
        </w:rPr>
        <w:t>3</w:t>
      </w:r>
      <w:r>
        <w:rPr>
          <w:rFonts w:hint="eastAsia" w:ascii="仿宋_GB2312" w:hAnsi="仿宋_GB2312" w:eastAsia="仿宋_GB2312" w:cs="仿宋_GB2312"/>
          <w:kern w:val="0"/>
          <w:sz w:val="32"/>
          <w:szCs w:val="32"/>
        </w:rPr>
        <w:t>次；</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（八）未经省住建厅委派或相关单位邀请，擅自以吉林省城镇燃气行业专家名义从事不正当活动；</w:t>
      </w:r>
    </w:p>
    <w:p>
      <w:pPr>
        <w:wordWrap w:val="0"/>
        <w:topLinePunct/>
        <w:spacing w:line="580" w:lineRule="exact"/>
        <w:ind w:firstLine="640" w:firstLineChars="200"/>
        <w:rPr>
          <w:rFonts w:hint="eastAsia"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（九）接到有关部门和人员举报，被证实存在不良行为。</w:t>
      </w:r>
    </w:p>
    <w:p>
      <w:pPr>
        <w:wordWrap w:val="0"/>
        <w:topLinePunct/>
        <w:spacing w:line="580" w:lineRule="exact"/>
        <w:ind w:firstLine="640" w:firstLineChars="200"/>
        <w:rPr>
          <w:rFonts w:ascii="仿宋_GB2312" w:hAnsi="仿宋_GB2312" w:eastAsia="仿宋_GB2312" w:cs="Times New Roman"/>
          <w:b/>
          <w:bCs/>
          <w:kern w:val="0"/>
          <w:sz w:val="32"/>
          <w:szCs w:val="32"/>
        </w:rPr>
      </w:pPr>
      <w:r>
        <w:rPr>
          <w:rFonts w:hint="eastAsia" w:ascii="仿宋_GB2312" w:hAnsi="仿宋_GB2312" w:eastAsia="仿宋_GB2312" w:cs="仿宋_GB2312"/>
          <w:kern w:val="0"/>
          <w:sz w:val="32"/>
          <w:szCs w:val="32"/>
        </w:rPr>
        <w:t>违反本条第（二）（三）（四）（五）（六）条规定取消专家资格的，不得重新申请专家资格。</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第十六条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因个人或工作原因不再适合担任专家相关工作，可申请退出专家库。</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 xml:space="preserve">第十七条 </w:t>
      </w:r>
      <w:r>
        <w:rPr>
          <w:rFonts w:hint="eastAsia" w:ascii="仿宋_GB2312" w:hAnsi="仿宋_GB2312" w:eastAsia="仿宋_GB2312" w:cs="仿宋_GB2312"/>
          <w:kern w:val="0"/>
          <w:sz w:val="32"/>
          <w:szCs w:val="32"/>
        </w:rPr>
        <w:t>专家库专家实行动态管理。根据工作需要，适时更新、补充符合资格条件的专家进入专家库，同时清退存在本办法第十五条规定情形的专家。</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第十八条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建立专家信息档案，按不同专业记录专家基本信息（包括姓名、单位、职务、职称、从业年限和专业水平）、工作业绩、工作质量（工作完成效果、业务水平、工作表现等）、履职情况、不良信用记录等内容，作为专家考核管理、续聘审核的依据。</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专家工作单位、职称、联系方式等信息变动时，应当在</w:t>
      </w:r>
      <w:r>
        <w:rPr>
          <w:rFonts w:ascii="仿宋_GB2312" w:hAnsi="仿宋_GB2312" w:eastAsia="仿宋_GB2312" w:cs="仿宋_GB2312"/>
          <w:kern w:val="0"/>
          <w:sz w:val="32"/>
          <w:szCs w:val="32"/>
        </w:rPr>
        <w:t>15</w:t>
      </w:r>
      <w:r>
        <w:rPr>
          <w:rFonts w:hint="eastAsia" w:ascii="仿宋_GB2312" w:hAnsi="仿宋_GB2312" w:eastAsia="仿宋_GB2312" w:cs="仿宋_GB2312"/>
          <w:kern w:val="0"/>
          <w:sz w:val="32"/>
          <w:szCs w:val="32"/>
        </w:rPr>
        <w:t>个工作日内报省住建厅办理变更手续。</w:t>
      </w: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第十九条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市（州）、县级城镇燃气管理部门应当对所聘请的城镇燃气行业专家的业务水平、工作态度、工作能力以及职业道德等方面进行监督管理，对发现专家的违规行为及时上报省住建厅。</w:t>
      </w:r>
    </w:p>
    <w:p>
      <w:pPr>
        <w:wordWrap w:val="0"/>
        <w:topLinePunct/>
        <w:spacing w:line="580" w:lineRule="exact"/>
        <w:ind w:firstLine="640" w:firstLineChars="2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省住建厅将不定期对所有专家活动行为进行检查，并对发现的问题予以通报。</w:t>
      </w:r>
    </w:p>
    <w:p>
      <w:pPr>
        <w:wordWrap w:val="0"/>
        <w:topLinePunct/>
        <w:spacing w:line="580" w:lineRule="exact"/>
        <w:ind w:firstLine="640" w:firstLineChars="200"/>
        <w:rPr>
          <w:rFonts w:ascii="黑体" w:hAnsi="黑体" w:eastAsia="黑体" w:cs="Times New Roman"/>
          <w:kern w:val="0"/>
          <w:sz w:val="32"/>
          <w:szCs w:val="32"/>
        </w:rPr>
      </w:pPr>
    </w:p>
    <w:p>
      <w:pPr>
        <w:wordWrap w:val="0"/>
        <w:topLinePunct/>
        <w:spacing w:line="580" w:lineRule="exact"/>
        <w:jc w:val="center"/>
        <w:rPr>
          <w:rFonts w:ascii="宋体" w:cs="Times New Roman"/>
          <w:b/>
          <w:bCs/>
          <w:kern w:val="0"/>
          <w:sz w:val="32"/>
          <w:szCs w:val="32"/>
        </w:rPr>
      </w:pPr>
      <w:r>
        <w:rPr>
          <w:rFonts w:hint="eastAsia" w:ascii="黑体" w:hAnsi="黑体" w:eastAsia="黑体" w:cs="黑体"/>
          <w:kern w:val="0"/>
          <w:sz w:val="32"/>
          <w:szCs w:val="32"/>
        </w:rPr>
        <w:t>第六章</w:t>
      </w:r>
      <w:r>
        <w:rPr>
          <w:rFonts w:ascii="黑体" w:hAnsi="黑体" w:eastAsia="黑体" w:cs="黑体"/>
          <w:kern w:val="0"/>
          <w:sz w:val="32"/>
          <w:szCs w:val="32"/>
        </w:rPr>
        <w:t xml:space="preserve"> </w:t>
      </w:r>
      <w:r>
        <w:rPr>
          <w:rFonts w:hint="eastAsia" w:ascii="黑体" w:hAnsi="黑体" w:eastAsia="黑体" w:cs="黑体"/>
          <w:kern w:val="0"/>
          <w:sz w:val="32"/>
          <w:szCs w:val="32"/>
        </w:rPr>
        <w:t>附</w:t>
      </w:r>
      <w:r>
        <w:rPr>
          <w:rFonts w:ascii="黑体" w:hAnsi="黑体" w:eastAsia="黑体" w:cs="黑体"/>
          <w:kern w:val="0"/>
          <w:sz w:val="32"/>
          <w:szCs w:val="32"/>
        </w:rPr>
        <w:t xml:space="preserve"> </w:t>
      </w:r>
      <w:r>
        <w:rPr>
          <w:rFonts w:hint="eastAsia" w:ascii="黑体" w:hAnsi="黑体" w:eastAsia="黑体" w:cs="黑体"/>
          <w:kern w:val="0"/>
          <w:sz w:val="32"/>
          <w:szCs w:val="32"/>
        </w:rPr>
        <w:t>则</w:t>
      </w:r>
    </w:p>
    <w:p>
      <w:pPr>
        <w:wordWrap w:val="0"/>
        <w:topLinePunct/>
        <w:spacing w:line="580" w:lineRule="exact"/>
        <w:ind w:firstLine="643" w:firstLineChars="200"/>
        <w:rPr>
          <w:rFonts w:ascii="仿宋_GB2312" w:hAnsi="仿宋_GB2312" w:eastAsia="仿宋_GB2312" w:cs="Times New Roman"/>
          <w:b/>
          <w:bCs/>
          <w:kern w:val="0"/>
          <w:sz w:val="32"/>
          <w:szCs w:val="32"/>
        </w:rPr>
      </w:pPr>
    </w:p>
    <w:p>
      <w:pPr>
        <w:wordWrap w:val="0"/>
        <w:topLinePunct/>
        <w:spacing w:line="580" w:lineRule="exact"/>
        <w:ind w:firstLine="643" w:firstLineChars="200"/>
        <w:rPr>
          <w:rFonts w:ascii="仿宋_GB2312" w:hAnsi="仿宋_GB2312" w:eastAsia="仿宋_GB2312" w:cs="Times New Roman"/>
          <w:kern w:val="0"/>
          <w:sz w:val="32"/>
          <w:szCs w:val="32"/>
        </w:rPr>
      </w:pPr>
      <w:r>
        <w:rPr>
          <w:rFonts w:hint="eastAsia" w:ascii="仿宋_GB2312" w:hAnsi="仿宋_GB2312" w:eastAsia="仿宋_GB2312" w:cs="仿宋_GB2312"/>
          <w:b/>
          <w:bCs/>
          <w:kern w:val="0"/>
          <w:sz w:val="32"/>
          <w:szCs w:val="32"/>
        </w:rPr>
        <w:t>第二十条</w:t>
      </w:r>
      <w:r>
        <w:rPr>
          <w:rFonts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rPr>
        <w:t>本办法自发布之日起施行。</w:t>
      </w:r>
    </w:p>
    <w:p>
      <w:pPr>
        <w:wordWrap w:val="0"/>
        <w:topLinePunct/>
        <w:spacing w:line="580" w:lineRule="exact"/>
        <w:ind w:firstLine="640" w:firstLineChars="200"/>
        <w:rPr>
          <w:rFonts w:hint="eastAsia" w:ascii="仿宋_GB2312" w:hAnsi="仿宋_GB2312" w:eastAsia="仿宋_GB2312" w:cs="仿宋_GB2312"/>
          <w:kern w:val="0"/>
          <w:sz w:val="32"/>
          <w:szCs w:val="32"/>
        </w:rPr>
      </w:pPr>
    </w:p>
    <w:p>
      <w:pPr>
        <w:wordWrap w:val="0"/>
        <w:topLinePunct/>
        <w:spacing w:line="58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附件：1.吉林省城镇燃气行业专家承诺书</w:t>
      </w:r>
    </w:p>
    <w:p>
      <w:pPr>
        <w:wordWrap w:val="0"/>
        <w:topLinePunct/>
        <w:spacing w:line="580" w:lineRule="exact"/>
        <w:ind w:firstLine="1600" w:firstLineChars="500"/>
        <w:rPr>
          <w:rFonts w:ascii="仿宋_GB2312" w:hAnsi="仿宋_GB2312" w:eastAsia="仿宋_GB2312" w:cs="Times New Roman"/>
          <w:kern w:val="0"/>
          <w:sz w:val="32"/>
          <w:szCs w:val="32"/>
        </w:rPr>
      </w:pPr>
      <w:r>
        <w:rPr>
          <w:rFonts w:hint="eastAsia" w:ascii="仿宋_GB2312" w:hAnsi="仿宋_GB2312" w:eastAsia="仿宋_GB2312" w:cs="仿宋_GB2312"/>
          <w:kern w:val="0"/>
          <w:sz w:val="32"/>
          <w:szCs w:val="32"/>
        </w:rPr>
        <w:t>2.吉林省城镇燃气行业专家推荐申请表</w:t>
      </w:r>
    </w:p>
    <w:p>
      <w:pPr>
        <w:spacing w:line="580" w:lineRule="exact"/>
        <w:jc w:val="left"/>
        <w:rPr>
          <w:rFonts w:hint="eastAsia" w:ascii="黑体" w:hAnsi="黑体" w:eastAsia="黑体" w:cs="黑体"/>
          <w:sz w:val="32"/>
          <w:szCs w:val="32"/>
        </w:rPr>
      </w:pPr>
    </w:p>
    <w:p>
      <w:pPr>
        <w:spacing w:line="580" w:lineRule="exact"/>
        <w:jc w:val="left"/>
        <w:rPr>
          <w:rFonts w:hint="eastAsia" w:ascii="黑体" w:hAnsi="黑体" w:eastAsia="黑体" w:cs="黑体"/>
          <w:sz w:val="32"/>
          <w:szCs w:val="32"/>
        </w:rPr>
      </w:pPr>
    </w:p>
    <w:p>
      <w:pPr>
        <w:spacing w:line="580" w:lineRule="exact"/>
        <w:jc w:val="left"/>
        <w:rPr>
          <w:rFonts w:hint="eastAsia" w:ascii="黑体" w:hAnsi="黑体" w:eastAsia="黑体" w:cs="黑体"/>
          <w:sz w:val="32"/>
          <w:szCs w:val="32"/>
        </w:rPr>
      </w:pPr>
    </w:p>
    <w:p>
      <w:pPr>
        <w:spacing w:line="580" w:lineRule="exact"/>
        <w:jc w:val="left"/>
        <w:rPr>
          <w:rFonts w:hint="eastAsia" w:ascii="黑体" w:hAnsi="黑体" w:eastAsia="黑体" w:cs="黑体"/>
          <w:sz w:val="32"/>
          <w:szCs w:val="32"/>
        </w:rPr>
      </w:pPr>
    </w:p>
    <w:p>
      <w:pPr>
        <w:spacing w:line="580" w:lineRule="exact"/>
        <w:jc w:val="left"/>
        <w:rPr>
          <w:rFonts w:hint="eastAsia" w:ascii="黑体" w:hAnsi="黑体" w:eastAsia="黑体" w:cs="黑体"/>
          <w:sz w:val="32"/>
          <w:szCs w:val="32"/>
        </w:rPr>
      </w:pPr>
    </w:p>
    <w:p>
      <w:pPr>
        <w:spacing w:line="580" w:lineRule="exact"/>
        <w:jc w:val="left"/>
        <w:rPr>
          <w:rFonts w:hint="eastAsia" w:ascii="黑体" w:hAnsi="黑体" w:eastAsia="黑体" w:cs="黑体"/>
          <w:sz w:val="32"/>
          <w:szCs w:val="32"/>
        </w:rPr>
      </w:pPr>
    </w:p>
    <w:p>
      <w:pPr>
        <w:spacing w:line="580" w:lineRule="exact"/>
        <w:jc w:val="left"/>
        <w:rPr>
          <w:rFonts w:hint="eastAsia" w:ascii="黑体" w:hAnsi="黑体" w:eastAsia="黑体" w:cs="黑体"/>
          <w:sz w:val="32"/>
          <w:szCs w:val="32"/>
        </w:rPr>
      </w:pPr>
    </w:p>
    <w:p>
      <w:pPr>
        <w:spacing w:line="580" w:lineRule="exact"/>
        <w:jc w:val="left"/>
        <w:rPr>
          <w:rFonts w:hint="eastAsia" w:ascii="黑体" w:hAnsi="黑体" w:eastAsia="黑体" w:cs="黑体"/>
          <w:sz w:val="32"/>
          <w:szCs w:val="32"/>
        </w:rPr>
      </w:pPr>
    </w:p>
    <w:p>
      <w:pPr>
        <w:spacing w:line="580" w:lineRule="exact"/>
        <w:jc w:val="left"/>
        <w:rPr>
          <w:rFonts w:hint="eastAsia" w:ascii="黑体" w:hAnsi="黑体" w:eastAsia="黑体" w:cs="黑体"/>
          <w:sz w:val="32"/>
          <w:szCs w:val="32"/>
        </w:rPr>
      </w:pPr>
    </w:p>
    <w:p>
      <w:pPr>
        <w:spacing w:line="580" w:lineRule="exact"/>
        <w:jc w:val="left"/>
        <w:rPr>
          <w:rFonts w:hint="eastAsia" w:ascii="黑体" w:hAnsi="黑体" w:eastAsia="黑体" w:cs="黑体"/>
          <w:sz w:val="32"/>
          <w:szCs w:val="32"/>
        </w:rPr>
      </w:pPr>
    </w:p>
    <w:p>
      <w:pPr>
        <w:pStyle w:val="2"/>
        <w:ind w:firstLine="640"/>
        <w:rPr>
          <w:rFonts w:hint="eastAsia" w:ascii="黑体" w:hAnsi="黑体" w:eastAsia="黑体" w:cs="黑体"/>
          <w:sz w:val="32"/>
          <w:szCs w:val="32"/>
        </w:rPr>
      </w:pPr>
    </w:p>
    <w:p>
      <w:pPr>
        <w:pStyle w:val="2"/>
        <w:ind w:firstLine="640"/>
        <w:rPr>
          <w:rFonts w:hint="eastAsia" w:ascii="黑体" w:hAnsi="黑体" w:eastAsia="黑体" w:cs="黑体"/>
          <w:sz w:val="32"/>
          <w:szCs w:val="32"/>
        </w:rPr>
      </w:pPr>
    </w:p>
    <w:p>
      <w:pPr>
        <w:pStyle w:val="2"/>
        <w:ind w:firstLine="640"/>
        <w:rPr>
          <w:rFonts w:hint="eastAsia" w:ascii="黑体" w:hAnsi="黑体" w:eastAsia="黑体" w:cs="黑体"/>
          <w:sz w:val="32"/>
          <w:szCs w:val="32"/>
        </w:rPr>
      </w:pPr>
    </w:p>
    <w:p>
      <w:pPr>
        <w:pStyle w:val="2"/>
        <w:ind w:firstLine="640"/>
        <w:rPr>
          <w:rFonts w:hint="eastAsia" w:ascii="黑体" w:hAnsi="黑体" w:eastAsia="黑体" w:cs="黑体"/>
          <w:sz w:val="32"/>
          <w:szCs w:val="32"/>
        </w:rPr>
      </w:pPr>
    </w:p>
    <w:p>
      <w:pPr>
        <w:pStyle w:val="2"/>
        <w:ind w:firstLine="640"/>
        <w:rPr>
          <w:rFonts w:hint="eastAsia" w:ascii="黑体" w:hAnsi="黑体" w:eastAsia="黑体" w:cs="黑体"/>
          <w:sz w:val="32"/>
          <w:szCs w:val="32"/>
        </w:rPr>
      </w:pPr>
    </w:p>
    <w:p>
      <w:pPr>
        <w:pStyle w:val="2"/>
        <w:ind w:firstLine="640"/>
        <w:rPr>
          <w:rFonts w:hint="eastAsia" w:ascii="黑体" w:hAnsi="黑体" w:eastAsia="黑体" w:cs="黑体"/>
          <w:sz w:val="32"/>
          <w:szCs w:val="32"/>
        </w:rPr>
      </w:pPr>
    </w:p>
    <w:p>
      <w:pPr>
        <w:pStyle w:val="2"/>
        <w:ind w:firstLine="640"/>
        <w:rPr>
          <w:rFonts w:hint="eastAsia" w:ascii="黑体" w:hAnsi="黑体" w:eastAsia="黑体" w:cs="黑体"/>
          <w:sz w:val="32"/>
          <w:szCs w:val="32"/>
        </w:rPr>
      </w:pPr>
    </w:p>
    <w:p>
      <w:pPr>
        <w:spacing w:line="580" w:lineRule="exact"/>
        <w:jc w:val="lef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p>
    <w:p>
      <w:pPr>
        <w:spacing w:line="580" w:lineRule="exact"/>
        <w:jc w:val="center"/>
        <w:rPr>
          <w:rFonts w:hint="eastAsia" w:ascii="方正小标宋简体" w:hAnsi="宋体" w:eastAsia="方正小标宋简体" w:cs="方正小标宋简体"/>
          <w:sz w:val="44"/>
          <w:szCs w:val="44"/>
        </w:rPr>
      </w:pPr>
    </w:p>
    <w:p>
      <w:pPr>
        <w:spacing w:line="580" w:lineRule="exact"/>
        <w:jc w:val="center"/>
        <w:rPr>
          <w:rFonts w:ascii="方正小标宋简体" w:hAnsi="宋体" w:eastAsia="方正小标宋简体" w:cs="Times New Roman"/>
          <w:sz w:val="44"/>
          <w:szCs w:val="44"/>
        </w:rPr>
      </w:pPr>
      <w:r>
        <w:rPr>
          <w:rFonts w:hint="eastAsia" w:ascii="方正小标宋简体" w:hAnsi="宋体" w:eastAsia="方正小标宋简体" w:cs="方正小标宋简体"/>
          <w:sz w:val="44"/>
          <w:szCs w:val="44"/>
        </w:rPr>
        <w:t>吉林省城镇燃气行业专家承诺书</w:t>
      </w:r>
    </w:p>
    <w:p>
      <w:pPr>
        <w:spacing w:line="580" w:lineRule="exact"/>
        <w:ind w:firstLine="640" w:firstLineChars="200"/>
        <w:rPr>
          <w:rFonts w:ascii="仿宋" w:hAnsi="仿宋" w:eastAsia="仿宋" w:cs="Times New Roman"/>
          <w:sz w:val="32"/>
          <w:szCs w:val="32"/>
        </w:rPr>
      </w:pPr>
    </w:p>
    <w:p>
      <w:pPr>
        <w:spacing w:line="520" w:lineRule="exact"/>
        <w:ind w:firstLine="640" w:firstLineChars="200"/>
        <w:rPr>
          <w:rFonts w:ascii="仿宋_GB2312" w:hAnsi="仿宋" w:eastAsia="仿宋_GB2312" w:cs="Times New Roman"/>
          <w:sz w:val="32"/>
          <w:szCs w:val="32"/>
        </w:rPr>
      </w:pPr>
      <w:r>
        <w:rPr>
          <w:rFonts w:hint="eastAsia" w:ascii="仿宋_GB2312" w:hAnsi="仿宋" w:eastAsia="仿宋_GB2312" w:cs="仿宋_GB2312"/>
          <w:sz w:val="32"/>
          <w:szCs w:val="32"/>
        </w:rPr>
        <w:t>我自愿申请成为吉林省城镇燃气行业专家，自觉遵守职业道德，遵纪守法，服从管理，自觉接受监督，能够认真、公正、诚实、廉洁地履行职责。现承诺如下：</w:t>
      </w:r>
    </w:p>
    <w:p>
      <w:pPr>
        <w:spacing w:line="520" w:lineRule="exact"/>
        <w:ind w:firstLine="640" w:firstLineChars="200"/>
        <w:rPr>
          <w:rFonts w:ascii="仿宋_GB2312" w:hAnsi="仿宋" w:eastAsia="仿宋_GB2312" w:cs="Times New Roman"/>
          <w:sz w:val="32"/>
          <w:szCs w:val="32"/>
        </w:rPr>
      </w:pPr>
      <w:r>
        <w:rPr>
          <w:rFonts w:hint="eastAsia" w:ascii="仿宋_GB2312" w:hAnsi="仿宋" w:eastAsia="仿宋_GB2312" w:cs="仿宋_GB2312"/>
          <w:sz w:val="32"/>
          <w:szCs w:val="32"/>
        </w:rPr>
        <w:t>一、对所提交信息的真实性、合法性负责；</w:t>
      </w:r>
    </w:p>
    <w:p>
      <w:pPr>
        <w:spacing w:line="520" w:lineRule="exact"/>
        <w:ind w:firstLine="640" w:firstLineChars="200"/>
        <w:rPr>
          <w:rFonts w:ascii="仿宋_GB2312" w:hAnsi="仿宋" w:eastAsia="仿宋_GB2312" w:cs="Times New Roman"/>
          <w:sz w:val="32"/>
          <w:szCs w:val="32"/>
        </w:rPr>
      </w:pPr>
      <w:r>
        <w:rPr>
          <w:rFonts w:hint="eastAsia" w:ascii="仿宋_GB2312" w:hAnsi="仿宋" w:eastAsia="仿宋_GB2312" w:cs="仿宋_GB2312"/>
          <w:sz w:val="32"/>
          <w:szCs w:val="32"/>
        </w:rPr>
        <w:t>二、自身具有较高理论水平和丰富实践经验，熟知城镇燃气行业的法律法规、标准规范，能够接受派遣并独立开展工作；</w:t>
      </w:r>
    </w:p>
    <w:p>
      <w:pPr>
        <w:spacing w:line="520" w:lineRule="exact"/>
        <w:ind w:firstLine="640" w:firstLineChars="200"/>
        <w:rPr>
          <w:rFonts w:ascii="仿宋_GB2312" w:hAnsi="仿宋" w:eastAsia="仿宋_GB2312" w:cs="Times New Roman"/>
          <w:sz w:val="32"/>
          <w:szCs w:val="32"/>
        </w:rPr>
      </w:pPr>
      <w:r>
        <w:rPr>
          <w:rFonts w:hint="eastAsia" w:ascii="仿宋_GB2312" w:hAnsi="仿宋" w:eastAsia="仿宋_GB2312" w:cs="仿宋_GB2312"/>
          <w:sz w:val="32"/>
          <w:szCs w:val="32"/>
        </w:rPr>
        <w:t>三、</w:t>
      </w:r>
      <w:r>
        <w:rPr>
          <w:rFonts w:hint="eastAsia" w:ascii="仿宋_GB2312" w:eastAsia="仿宋_GB2312" w:cs="仿宋_GB2312"/>
          <w:sz w:val="32"/>
          <w:szCs w:val="32"/>
        </w:rPr>
        <w:t>担任专家期间主动回避利害关系，严格遵守工作纪律；</w:t>
      </w:r>
    </w:p>
    <w:p>
      <w:pPr>
        <w:spacing w:line="520" w:lineRule="exact"/>
        <w:ind w:firstLine="640" w:firstLineChars="200"/>
        <w:rPr>
          <w:rFonts w:ascii="仿宋_GB2312" w:hAnsi="仿宋" w:eastAsia="仿宋_GB2312" w:cs="Times New Roman"/>
          <w:sz w:val="32"/>
          <w:szCs w:val="32"/>
        </w:rPr>
      </w:pPr>
      <w:r>
        <w:rPr>
          <w:rFonts w:hint="eastAsia" w:ascii="仿宋_GB2312" w:hAnsi="仿宋" w:eastAsia="仿宋_GB2312" w:cs="仿宋_GB2312"/>
          <w:sz w:val="32"/>
          <w:szCs w:val="32"/>
        </w:rPr>
        <w:t>四、身体健康，能够胜任相关工作；</w:t>
      </w:r>
    </w:p>
    <w:p>
      <w:pPr>
        <w:spacing w:line="520" w:lineRule="exact"/>
        <w:ind w:firstLine="640" w:firstLineChars="200"/>
        <w:rPr>
          <w:rFonts w:ascii="仿宋_GB2312" w:hAnsi="仿宋" w:eastAsia="仿宋_GB2312" w:cs="Times New Roman"/>
          <w:sz w:val="32"/>
          <w:szCs w:val="32"/>
        </w:rPr>
      </w:pPr>
      <w:r>
        <w:rPr>
          <w:rFonts w:hint="eastAsia" w:ascii="Times New Roman" w:hAnsi="Times New Roman" w:eastAsia="仿宋_GB2312" w:cs="仿宋_GB2312"/>
          <w:sz w:val="32"/>
          <w:szCs w:val="32"/>
        </w:rPr>
        <w:t>五、本人未因对城镇燃气生产安全事故负有责任而受到行政处罚，近</w:t>
      </w:r>
      <w:r>
        <w:rPr>
          <w:rFonts w:ascii="Times New Roman" w:hAnsi="Times New Roman" w:eastAsia="仿宋_GB2312" w:cs="Times New Roman"/>
          <w:sz w:val="32"/>
          <w:szCs w:val="32"/>
        </w:rPr>
        <w:t>3</w:t>
      </w:r>
      <w:r>
        <w:rPr>
          <w:rFonts w:hint="eastAsia" w:ascii="Times New Roman" w:hAnsi="Times New Roman" w:eastAsia="仿宋_GB2312" w:cs="仿宋_GB2312"/>
          <w:sz w:val="32"/>
          <w:szCs w:val="32"/>
        </w:rPr>
        <w:t>年内未受到</w:t>
      </w:r>
      <w:r>
        <w:rPr>
          <w:rFonts w:hint="eastAsia" w:ascii="仿宋_GB2312" w:hAnsi="仿宋_GB2312" w:eastAsia="仿宋_GB2312" w:cs="仿宋_GB2312"/>
          <w:kern w:val="0"/>
          <w:sz w:val="32"/>
          <w:szCs w:val="32"/>
        </w:rPr>
        <w:t>城镇燃气管理部门</w:t>
      </w:r>
      <w:r>
        <w:rPr>
          <w:rFonts w:hint="eastAsia" w:ascii="Times New Roman" w:hAnsi="Times New Roman" w:eastAsia="仿宋_GB2312" w:cs="仿宋_GB2312"/>
          <w:sz w:val="32"/>
          <w:szCs w:val="32"/>
        </w:rPr>
        <w:t>行政处罚，无不良行为记录；</w:t>
      </w:r>
    </w:p>
    <w:p>
      <w:pPr>
        <w:spacing w:line="520" w:lineRule="exact"/>
        <w:ind w:firstLine="640" w:firstLineChars="200"/>
        <w:rPr>
          <w:rFonts w:hint="eastAsia" w:ascii="仿宋_GB2312" w:hAnsi="仿宋" w:cs="Times New Roman"/>
          <w:sz w:val="32"/>
          <w:szCs w:val="32"/>
        </w:rPr>
      </w:pPr>
      <w:r>
        <w:rPr>
          <w:rFonts w:hint="eastAsia" w:ascii="仿宋_GB2312" w:hAnsi="仿宋" w:eastAsia="仿宋_GB2312" w:cs="仿宋_GB2312"/>
          <w:sz w:val="32"/>
          <w:szCs w:val="32"/>
        </w:rPr>
        <w:t>六、本人已认真阅读《吉林省城镇燃气行业专家管理办法》，并接受其全部规定。</w:t>
      </w:r>
      <w:r>
        <w:rPr>
          <w:rFonts w:hint="eastAsia" w:ascii="MS Mincho" w:hAnsi="MS Mincho" w:cs="MS Mincho"/>
          <w:sz w:val="32"/>
          <w:szCs w:val="32"/>
        </w:rPr>
        <w:t>□</w:t>
      </w:r>
    </w:p>
    <w:p>
      <w:pPr>
        <w:spacing w:line="520" w:lineRule="exact"/>
        <w:ind w:firstLine="640" w:firstLineChars="200"/>
        <w:rPr>
          <w:rFonts w:hint="eastAsia" w:ascii="仿宋_GB2312" w:hAnsi="仿宋" w:cs="Times New Roman"/>
          <w:sz w:val="32"/>
          <w:szCs w:val="32"/>
        </w:rPr>
      </w:pPr>
      <w:r>
        <w:rPr>
          <w:rFonts w:hint="eastAsia" w:ascii="仿宋_GB2312" w:hAnsi="仿宋" w:eastAsia="仿宋_GB2312" w:cs="仿宋_GB2312"/>
          <w:sz w:val="32"/>
          <w:szCs w:val="32"/>
        </w:rPr>
        <w:t>我将严格遵守以上承诺，如有违背，我愿意接受各级</w:t>
      </w:r>
      <w:r>
        <w:rPr>
          <w:rFonts w:hint="eastAsia" w:ascii="仿宋_GB2312" w:hAnsi="仿宋_GB2312" w:eastAsia="仿宋_GB2312" w:cs="仿宋_GB2312"/>
          <w:sz w:val="32"/>
          <w:szCs w:val="32"/>
        </w:rPr>
        <w:t>城镇燃气管理部门</w:t>
      </w:r>
      <w:r>
        <w:rPr>
          <w:rFonts w:hint="eastAsia" w:ascii="仿宋_GB2312" w:hAnsi="仿宋" w:eastAsia="仿宋_GB2312" w:cs="仿宋_GB2312"/>
          <w:sz w:val="32"/>
          <w:szCs w:val="32"/>
        </w:rPr>
        <w:t>按规定对我做出的相关处理，并承担相关法律责任，特此承诺。</w:t>
      </w:r>
      <w:r>
        <w:rPr>
          <w:rFonts w:hint="eastAsia" w:ascii="MS Mincho" w:hAnsi="MS Mincho" w:cs="MS Mincho"/>
          <w:sz w:val="32"/>
          <w:szCs w:val="32"/>
        </w:rPr>
        <w:t>□</w:t>
      </w:r>
    </w:p>
    <w:p>
      <w:pPr>
        <w:pStyle w:val="20"/>
        <w:spacing w:line="580" w:lineRule="exact"/>
        <w:ind w:left="780" w:firstLine="0" w:firstLineChars="0"/>
        <w:rPr>
          <w:rFonts w:ascii="仿宋_GB2312" w:hAnsi="仿宋" w:eastAsia="仿宋_GB2312" w:cs="Times New Roman"/>
          <w:sz w:val="32"/>
          <w:szCs w:val="32"/>
        </w:rPr>
      </w:pPr>
    </w:p>
    <w:p>
      <w:pPr>
        <w:spacing w:line="580" w:lineRule="exact"/>
        <w:ind w:right="640" w:firstLine="4320" w:firstLineChars="1350"/>
        <w:rPr>
          <w:rFonts w:ascii="仿宋_GB2312" w:hAnsi="仿宋" w:eastAsia="仿宋_GB2312" w:cs="仿宋_GB2312"/>
          <w:sz w:val="32"/>
          <w:szCs w:val="32"/>
        </w:rPr>
      </w:pPr>
      <w:r>
        <w:rPr>
          <w:rFonts w:hint="eastAsia" w:ascii="仿宋_GB2312" w:hAnsi="仿宋" w:eastAsia="仿宋_GB2312" w:cs="仿宋_GB2312"/>
          <w:sz w:val="32"/>
          <w:szCs w:val="32"/>
        </w:rPr>
        <w:t>专家（签字）：</w:t>
      </w:r>
      <w:r>
        <w:rPr>
          <w:rFonts w:ascii="仿宋_GB2312" w:hAnsi="仿宋" w:eastAsia="仿宋_GB2312" w:cs="仿宋_GB2312"/>
          <w:sz w:val="32"/>
          <w:szCs w:val="32"/>
        </w:rPr>
        <w:t xml:space="preserve">     </w:t>
      </w:r>
    </w:p>
    <w:p>
      <w:pPr>
        <w:spacing w:line="580" w:lineRule="exact"/>
        <w:ind w:right="1280"/>
        <w:jc w:val="right"/>
        <w:rPr>
          <w:rFonts w:hint="eastAsia" w:ascii="仿宋" w:hAnsi="仿宋" w:eastAsia="仿宋" w:cs="仿宋"/>
          <w:sz w:val="32"/>
          <w:szCs w:val="32"/>
        </w:rPr>
      </w:pPr>
    </w:p>
    <w:p>
      <w:pPr>
        <w:spacing w:line="580" w:lineRule="exact"/>
        <w:ind w:right="106"/>
        <w:jc w:val="right"/>
        <w:rPr>
          <w:rFonts w:ascii="仿宋" w:hAnsi="仿宋" w:eastAsia="仿宋" w:cs="Times New Roman"/>
          <w:sz w:val="32"/>
          <w:szCs w:val="32"/>
        </w:rPr>
      </w:pPr>
      <w:r>
        <w:rPr>
          <w:rFonts w:hint="eastAsia" w:ascii="仿宋" w:hAnsi="仿宋" w:eastAsia="仿宋" w:cs="仿宋"/>
          <w:sz w:val="32"/>
          <w:szCs w:val="32"/>
        </w:rPr>
        <w:t xml:space="preserve">  年</w:t>
      </w:r>
      <w:r>
        <w:rPr>
          <w:rFonts w:ascii="仿宋" w:hAnsi="仿宋" w:eastAsia="仿宋" w:cs="仿宋"/>
          <w:sz w:val="32"/>
          <w:szCs w:val="32"/>
        </w:rPr>
        <w:t xml:space="preserve">  </w:t>
      </w:r>
      <w:r>
        <w:rPr>
          <w:rFonts w:hint="eastAsia" w:ascii="仿宋" w:hAnsi="仿宋" w:eastAsia="仿宋" w:cs="仿宋"/>
          <w:sz w:val="32"/>
          <w:szCs w:val="32"/>
        </w:rPr>
        <w:t>月</w:t>
      </w:r>
      <w:r>
        <w:rPr>
          <w:rFonts w:ascii="仿宋" w:hAnsi="仿宋" w:eastAsia="仿宋" w:cs="仿宋"/>
          <w:sz w:val="32"/>
          <w:szCs w:val="32"/>
        </w:rPr>
        <w:t xml:space="preserve">  </w:t>
      </w:r>
      <w:r>
        <w:rPr>
          <w:rFonts w:hint="eastAsia" w:ascii="仿宋" w:hAnsi="仿宋" w:eastAsia="仿宋" w:cs="仿宋"/>
          <w:sz w:val="32"/>
          <w:szCs w:val="32"/>
        </w:rPr>
        <w:t>日</w:t>
      </w:r>
    </w:p>
    <w:p>
      <w:pPr>
        <w:rPr>
          <w:rFonts w:cs="Times New Roman"/>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2</w:t>
      </w:r>
    </w:p>
    <w:p>
      <w:pPr>
        <w:spacing w:line="600" w:lineRule="exact"/>
        <w:jc w:val="center"/>
        <w:rPr>
          <w:rFonts w:ascii="小标宋" w:hAnsi="小标宋" w:eastAsia="小标宋" w:cs="Courier New"/>
          <w:kern w:val="0"/>
          <w:sz w:val="44"/>
          <w:szCs w:val="44"/>
        </w:rPr>
      </w:pPr>
      <w:r>
        <w:rPr>
          <w:rFonts w:hint="eastAsia" w:ascii="方正小标宋简体" w:hAnsi="方正小标宋简体" w:eastAsia="方正小标宋简体" w:cs="方正小标宋简体"/>
          <w:kern w:val="0"/>
          <w:sz w:val="44"/>
          <w:szCs w:val="44"/>
        </w:rPr>
        <w:t>吉林省城镇燃气行业专家推荐申请表</w:t>
      </w:r>
    </w:p>
    <w:tbl>
      <w:tblPr>
        <w:tblStyle w:val="10"/>
        <w:tblW w:w="10099" w:type="dxa"/>
        <w:tblInd w:w="-673" w:type="dxa"/>
        <w:tblLayout w:type="fixed"/>
        <w:tblCellMar>
          <w:top w:w="0" w:type="dxa"/>
          <w:left w:w="108" w:type="dxa"/>
          <w:bottom w:w="0" w:type="dxa"/>
          <w:right w:w="108" w:type="dxa"/>
        </w:tblCellMar>
      </w:tblPr>
      <w:tblGrid>
        <w:gridCol w:w="1124"/>
        <w:gridCol w:w="1088"/>
        <w:gridCol w:w="773"/>
        <w:gridCol w:w="1246"/>
        <w:gridCol w:w="1069"/>
        <w:gridCol w:w="1623"/>
        <w:gridCol w:w="3176"/>
      </w:tblGrid>
      <w:tr>
        <w:tblPrEx>
          <w:tblCellMar>
            <w:top w:w="0" w:type="dxa"/>
            <w:left w:w="108" w:type="dxa"/>
            <w:bottom w:w="0" w:type="dxa"/>
            <w:right w:w="108" w:type="dxa"/>
          </w:tblCellMar>
        </w:tblPrEx>
        <w:trPr>
          <w:trHeight w:val="604" w:hRule="atLeast"/>
        </w:trPr>
        <w:tc>
          <w:tcPr>
            <w:tcW w:w="11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姓  名</w:t>
            </w:r>
          </w:p>
        </w:tc>
        <w:tc>
          <w:tcPr>
            <w:tcW w:w="108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773"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出生</w:t>
            </w:r>
          </w:p>
          <w:p>
            <w:pPr>
              <w:widowControl/>
              <w:jc w:val="center"/>
              <w:rPr>
                <w:rFonts w:ascii="宋体" w:hAnsi="宋体" w:cs="宋体"/>
                <w:kern w:val="0"/>
                <w:sz w:val="20"/>
                <w:szCs w:val="20"/>
              </w:rPr>
            </w:pPr>
            <w:r>
              <w:rPr>
                <w:rFonts w:hint="eastAsia" w:ascii="宋体" w:hAnsi="宋体" w:cs="宋体"/>
                <w:kern w:val="0"/>
                <w:sz w:val="20"/>
                <w:szCs w:val="20"/>
              </w:rPr>
              <w:t>年月</w:t>
            </w:r>
          </w:p>
        </w:tc>
        <w:tc>
          <w:tcPr>
            <w:tcW w:w="124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106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性 别</w:t>
            </w:r>
          </w:p>
        </w:tc>
        <w:tc>
          <w:tcPr>
            <w:tcW w:w="16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3176" w:type="dxa"/>
            <w:vMerge w:val="restart"/>
            <w:tcBorders>
              <w:top w:val="single" w:color="auto" w:sz="4" w:space="0"/>
              <w:left w:val="nil"/>
              <w:bottom w:val="single" w:color="000000" w:sz="4" w:space="0"/>
              <w:right w:val="single" w:color="auto" w:sz="4" w:space="0"/>
            </w:tcBorders>
            <w:noWrap/>
            <w:vAlign w:val="center"/>
          </w:tcPr>
          <w:p>
            <w:pPr>
              <w:widowControl/>
              <w:jc w:val="center"/>
              <w:rPr>
                <w:rFonts w:hint="eastAsia" w:ascii="宋体" w:hAnsi="宋体" w:cs="宋体"/>
                <w:kern w:val="0"/>
                <w:sz w:val="20"/>
                <w:szCs w:val="20"/>
              </w:rPr>
            </w:pPr>
            <w:r>
              <w:rPr>
                <w:rFonts w:ascii="宋体" w:hAnsi="宋体" w:cs="宋体"/>
                <w:kern w:val="0"/>
                <w:sz w:val="20"/>
                <w:szCs w:val="20"/>
              </w:rPr>
              <w:t>彩色</w:t>
            </w:r>
          </w:p>
          <w:p>
            <w:pPr>
              <w:widowControl/>
              <w:jc w:val="center"/>
              <w:rPr>
                <w:rFonts w:hint="eastAsia" w:ascii="宋体" w:hAnsi="宋体" w:cs="宋体"/>
                <w:kern w:val="0"/>
                <w:sz w:val="20"/>
                <w:szCs w:val="20"/>
              </w:rPr>
            </w:pPr>
            <w:r>
              <w:rPr>
                <w:rFonts w:ascii="宋体" w:hAnsi="宋体" w:cs="宋体"/>
                <w:kern w:val="0"/>
                <w:sz w:val="20"/>
                <w:szCs w:val="20"/>
              </w:rPr>
              <w:t>证件</w:t>
            </w:r>
          </w:p>
          <w:p>
            <w:pPr>
              <w:widowControl/>
              <w:jc w:val="center"/>
              <w:rPr>
                <w:rFonts w:ascii="宋体" w:hAnsi="宋体" w:cs="宋体"/>
                <w:kern w:val="0"/>
                <w:sz w:val="20"/>
                <w:szCs w:val="20"/>
              </w:rPr>
            </w:pPr>
            <w:r>
              <w:rPr>
                <w:rFonts w:ascii="宋体" w:hAnsi="宋体" w:cs="宋体"/>
                <w:kern w:val="0"/>
                <w:sz w:val="20"/>
                <w:szCs w:val="20"/>
              </w:rPr>
              <w:t>照片</w:t>
            </w:r>
          </w:p>
        </w:tc>
      </w:tr>
      <w:tr>
        <w:tblPrEx>
          <w:tblCellMar>
            <w:top w:w="0" w:type="dxa"/>
            <w:left w:w="108" w:type="dxa"/>
            <w:bottom w:w="0" w:type="dxa"/>
            <w:right w:w="108" w:type="dxa"/>
          </w:tblCellMar>
        </w:tblPrEx>
        <w:trPr>
          <w:trHeight w:val="604" w:hRule="atLeast"/>
        </w:trPr>
        <w:tc>
          <w:tcPr>
            <w:tcW w:w="112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手  机</w:t>
            </w:r>
          </w:p>
        </w:tc>
        <w:tc>
          <w:tcPr>
            <w:tcW w:w="1088"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773" w:type="dxa"/>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电子</w:t>
            </w:r>
          </w:p>
          <w:p>
            <w:pPr>
              <w:widowControl/>
              <w:jc w:val="center"/>
              <w:rPr>
                <w:rFonts w:ascii="宋体" w:hAnsi="宋体" w:cs="宋体"/>
                <w:kern w:val="0"/>
                <w:sz w:val="20"/>
                <w:szCs w:val="20"/>
              </w:rPr>
            </w:pPr>
            <w:r>
              <w:rPr>
                <w:rFonts w:hint="eastAsia" w:ascii="宋体" w:hAnsi="宋体" w:cs="宋体"/>
                <w:kern w:val="0"/>
                <w:sz w:val="20"/>
                <w:szCs w:val="20"/>
              </w:rPr>
              <w:t>信箱</w:t>
            </w:r>
          </w:p>
        </w:tc>
        <w:tc>
          <w:tcPr>
            <w:tcW w:w="1246"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1069"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学 历</w:t>
            </w:r>
          </w:p>
        </w:tc>
        <w:tc>
          <w:tcPr>
            <w:tcW w:w="162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3176" w:type="dxa"/>
            <w:vMerge w:val="continue"/>
            <w:tcBorders>
              <w:top w:val="single" w:color="auto" w:sz="4" w:space="0"/>
              <w:left w:val="nil"/>
              <w:bottom w:val="single" w:color="000000" w:sz="4" w:space="0"/>
              <w:right w:val="single" w:color="auto" w:sz="4" w:space="0"/>
            </w:tcBorders>
            <w:noWrap/>
            <w:vAlign w:val="center"/>
          </w:tcPr>
          <w:p>
            <w:pPr>
              <w:widowControl/>
              <w:jc w:val="center"/>
              <w:rPr>
                <w:rFonts w:hint="eastAsia" w:ascii="宋体" w:hAnsi="宋体" w:cs="宋体"/>
                <w:kern w:val="0"/>
                <w:sz w:val="20"/>
                <w:szCs w:val="20"/>
              </w:rPr>
            </w:pPr>
          </w:p>
        </w:tc>
      </w:tr>
      <w:tr>
        <w:tblPrEx>
          <w:tblCellMar>
            <w:top w:w="0" w:type="dxa"/>
            <w:left w:w="108" w:type="dxa"/>
            <w:bottom w:w="0" w:type="dxa"/>
            <w:right w:w="108" w:type="dxa"/>
          </w:tblCellMar>
        </w:tblPrEx>
        <w:trPr>
          <w:trHeight w:val="604" w:hRule="atLeast"/>
        </w:trPr>
        <w:tc>
          <w:tcPr>
            <w:tcW w:w="1124"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身份</w:t>
            </w:r>
          </w:p>
          <w:p>
            <w:pPr>
              <w:widowControl/>
              <w:jc w:val="center"/>
              <w:rPr>
                <w:rFonts w:ascii="宋体" w:hAnsi="宋体" w:cs="宋体"/>
                <w:kern w:val="0"/>
                <w:sz w:val="20"/>
                <w:szCs w:val="20"/>
              </w:rPr>
            </w:pPr>
            <w:r>
              <w:rPr>
                <w:rFonts w:hint="eastAsia" w:ascii="宋体" w:hAnsi="宋体" w:cs="宋体"/>
                <w:kern w:val="0"/>
                <w:sz w:val="20"/>
                <w:szCs w:val="20"/>
              </w:rPr>
              <w:t>证号</w:t>
            </w:r>
          </w:p>
        </w:tc>
        <w:tc>
          <w:tcPr>
            <w:tcW w:w="3107"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1069"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政治</w:t>
            </w:r>
          </w:p>
          <w:p>
            <w:pPr>
              <w:widowControl/>
              <w:jc w:val="center"/>
              <w:rPr>
                <w:rFonts w:ascii="宋体" w:hAnsi="宋体" w:cs="宋体"/>
                <w:kern w:val="0"/>
                <w:sz w:val="20"/>
                <w:szCs w:val="20"/>
              </w:rPr>
            </w:pPr>
            <w:r>
              <w:rPr>
                <w:rFonts w:hint="eastAsia" w:ascii="宋体" w:hAnsi="宋体" w:cs="宋体"/>
                <w:kern w:val="0"/>
                <w:sz w:val="20"/>
                <w:szCs w:val="20"/>
              </w:rPr>
              <w:t>面貌</w:t>
            </w:r>
          </w:p>
        </w:tc>
        <w:tc>
          <w:tcPr>
            <w:tcW w:w="162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3176" w:type="dxa"/>
            <w:vMerge w:val="continue"/>
            <w:tcBorders>
              <w:top w:val="single" w:color="auto" w:sz="4" w:space="0"/>
              <w:left w:val="nil"/>
              <w:bottom w:val="single" w:color="000000" w:sz="4" w:space="0"/>
              <w:right w:val="single" w:color="auto" w:sz="4" w:space="0"/>
            </w:tcBorders>
            <w:noWrap w:val="0"/>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604" w:hRule="atLeast"/>
        </w:trPr>
        <w:tc>
          <w:tcPr>
            <w:tcW w:w="1124"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毕业</w:t>
            </w:r>
          </w:p>
          <w:p>
            <w:pPr>
              <w:widowControl/>
              <w:jc w:val="center"/>
              <w:rPr>
                <w:rFonts w:ascii="宋体" w:hAnsi="宋体" w:cs="宋体"/>
                <w:kern w:val="0"/>
                <w:sz w:val="20"/>
                <w:szCs w:val="20"/>
              </w:rPr>
            </w:pPr>
            <w:r>
              <w:rPr>
                <w:rFonts w:hint="eastAsia" w:ascii="宋体" w:hAnsi="宋体" w:cs="宋体"/>
                <w:kern w:val="0"/>
                <w:sz w:val="20"/>
                <w:szCs w:val="20"/>
              </w:rPr>
              <w:t>院校</w:t>
            </w:r>
          </w:p>
        </w:tc>
        <w:tc>
          <w:tcPr>
            <w:tcW w:w="3107"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1069"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所学</w:t>
            </w:r>
          </w:p>
          <w:p>
            <w:pPr>
              <w:widowControl/>
              <w:jc w:val="center"/>
              <w:rPr>
                <w:rFonts w:ascii="宋体" w:hAnsi="宋体" w:cs="宋体"/>
                <w:kern w:val="0"/>
                <w:sz w:val="20"/>
                <w:szCs w:val="20"/>
              </w:rPr>
            </w:pPr>
            <w:r>
              <w:rPr>
                <w:rFonts w:hint="eastAsia" w:ascii="宋体" w:hAnsi="宋体" w:cs="宋体"/>
                <w:kern w:val="0"/>
                <w:sz w:val="20"/>
                <w:szCs w:val="20"/>
              </w:rPr>
              <w:t>专业</w:t>
            </w:r>
          </w:p>
        </w:tc>
        <w:tc>
          <w:tcPr>
            <w:tcW w:w="162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3176" w:type="dxa"/>
            <w:vMerge w:val="continue"/>
            <w:tcBorders>
              <w:top w:val="single" w:color="auto" w:sz="4" w:space="0"/>
              <w:left w:val="nil"/>
              <w:bottom w:val="single" w:color="000000" w:sz="4" w:space="0"/>
              <w:right w:val="single" w:color="auto" w:sz="4" w:space="0"/>
            </w:tcBorders>
            <w:noWrap w:val="0"/>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901" w:hRule="atLeast"/>
        </w:trPr>
        <w:tc>
          <w:tcPr>
            <w:tcW w:w="1124"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职称/职业资格</w:t>
            </w:r>
          </w:p>
        </w:tc>
        <w:tc>
          <w:tcPr>
            <w:tcW w:w="3107" w:type="dxa"/>
            <w:gridSpan w:val="3"/>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1069" w:type="dxa"/>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ascii="宋体" w:hAnsi="宋体" w:cs="宋体"/>
                <w:kern w:val="0"/>
                <w:sz w:val="20"/>
                <w:szCs w:val="20"/>
              </w:rPr>
              <w:t>职称</w:t>
            </w:r>
          </w:p>
          <w:p>
            <w:pPr>
              <w:widowControl/>
              <w:jc w:val="center"/>
              <w:rPr>
                <w:rFonts w:ascii="宋体" w:hAnsi="宋体" w:cs="宋体"/>
                <w:kern w:val="0"/>
                <w:sz w:val="20"/>
                <w:szCs w:val="20"/>
              </w:rPr>
            </w:pPr>
            <w:r>
              <w:rPr>
                <w:rFonts w:ascii="宋体" w:hAnsi="宋体" w:cs="宋体"/>
                <w:kern w:val="0"/>
                <w:sz w:val="20"/>
                <w:szCs w:val="20"/>
              </w:rPr>
              <w:t>专业</w:t>
            </w:r>
          </w:p>
        </w:tc>
        <w:tc>
          <w:tcPr>
            <w:tcW w:w="1623"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3176" w:type="dxa"/>
            <w:vMerge w:val="continue"/>
            <w:tcBorders>
              <w:top w:val="single" w:color="auto" w:sz="4" w:space="0"/>
              <w:left w:val="nil"/>
              <w:bottom w:val="single" w:color="000000" w:sz="4" w:space="0"/>
              <w:right w:val="single" w:color="auto" w:sz="4" w:space="0"/>
            </w:tcBorders>
            <w:noWrap w:val="0"/>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604" w:hRule="atLeast"/>
        </w:trPr>
        <w:tc>
          <w:tcPr>
            <w:tcW w:w="1124"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工作</w:t>
            </w:r>
          </w:p>
          <w:p>
            <w:pPr>
              <w:widowControl/>
              <w:jc w:val="center"/>
              <w:rPr>
                <w:rFonts w:ascii="宋体" w:hAnsi="宋体" w:cs="宋体"/>
                <w:kern w:val="0"/>
                <w:sz w:val="20"/>
                <w:szCs w:val="20"/>
              </w:rPr>
            </w:pPr>
            <w:r>
              <w:rPr>
                <w:rFonts w:hint="eastAsia" w:ascii="宋体" w:hAnsi="宋体" w:cs="宋体"/>
                <w:kern w:val="0"/>
                <w:sz w:val="20"/>
                <w:szCs w:val="20"/>
              </w:rPr>
              <w:t>单位</w:t>
            </w:r>
          </w:p>
        </w:tc>
        <w:tc>
          <w:tcPr>
            <w:tcW w:w="3107" w:type="dxa"/>
            <w:gridSpan w:val="3"/>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1069"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从事专业</w:t>
            </w:r>
          </w:p>
          <w:p>
            <w:pPr>
              <w:widowControl/>
              <w:jc w:val="center"/>
              <w:rPr>
                <w:rFonts w:ascii="宋体" w:hAnsi="宋体" w:cs="宋体"/>
                <w:kern w:val="0"/>
                <w:sz w:val="20"/>
                <w:szCs w:val="20"/>
              </w:rPr>
            </w:pPr>
            <w:r>
              <w:rPr>
                <w:rFonts w:hint="eastAsia" w:ascii="宋体" w:hAnsi="宋体" w:cs="宋体"/>
                <w:kern w:val="0"/>
                <w:sz w:val="20"/>
                <w:szCs w:val="20"/>
              </w:rPr>
              <w:t>领域</w:t>
            </w:r>
          </w:p>
        </w:tc>
        <w:tc>
          <w:tcPr>
            <w:tcW w:w="4799"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604" w:hRule="atLeast"/>
        </w:trPr>
        <w:tc>
          <w:tcPr>
            <w:tcW w:w="1124" w:type="dxa"/>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通讯</w:t>
            </w:r>
          </w:p>
          <w:p>
            <w:pPr>
              <w:widowControl/>
              <w:jc w:val="center"/>
              <w:rPr>
                <w:rFonts w:ascii="宋体" w:hAnsi="宋体" w:cs="宋体"/>
                <w:kern w:val="0"/>
                <w:sz w:val="20"/>
                <w:szCs w:val="20"/>
              </w:rPr>
            </w:pPr>
            <w:r>
              <w:rPr>
                <w:rFonts w:hint="eastAsia" w:ascii="宋体" w:hAnsi="宋体" w:cs="宋体"/>
                <w:kern w:val="0"/>
                <w:sz w:val="20"/>
                <w:szCs w:val="20"/>
              </w:rPr>
              <w:t>地址</w:t>
            </w:r>
          </w:p>
        </w:tc>
        <w:tc>
          <w:tcPr>
            <w:tcW w:w="8975" w:type="dxa"/>
            <w:gridSpan w:val="6"/>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36" w:hRule="atLeast"/>
        </w:trPr>
        <w:tc>
          <w:tcPr>
            <w:tcW w:w="1124" w:type="dxa"/>
            <w:vMerge w:val="restart"/>
            <w:tcBorders>
              <w:top w:val="nil"/>
              <w:left w:val="single" w:color="auto" w:sz="4" w:space="0"/>
              <w:bottom w:val="nil"/>
              <w:right w:val="single" w:color="auto" w:sz="4" w:space="0"/>
            </w:tcBorders>
            <w:noWrap w:val="0"/>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个人简历</w:t>
            </w:r>
          </w:p>
          <w:p>
            <w:pPr>
              <w:widowControl/>
              <w:jc w:val="center"/>
              <w:rPr>
                <w:rFonts w:ascii="宋体" w:hAnsi="宋体" w:cs="宋体"/>
                <w:kern w:val="0"/>
                <w:sz w:val="20"/>
                <w:szCs w:val="20"/>
              </w:rPr>
            </w:pPr>
            <w:r>
              <w:rPr>
                <w:rFonts w:hint="eastAsia" w:ascii="宋体" w:hAnsi="宋体" w:cs="宋体"/>
                <w:kern w:val="0"/>
                <w:sz w:val="20"/>
                <w:szCs w:val="20"/>
              </w:rPr>
              <w:t>（工作经历）</w:t>
            </w:r>
          </w:p>
        </w:tc>
        <w:tc>
          <w:tcPr>
            <w:tcW w:w="1088"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起止时间</w:t>
            </w:r>
          </w:p>
        </w:tc>
        <w:tc>
          <w:tcPr>
            <w:tcW w:w="2019"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单 位</w:t>
            </w:r>
          </w:p>
        </w:tc>
        <w:tc>
          <w:tcPr>
            <w:tcW w:w="269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专业领域</w:t>
            </w:r>
          </w:p>
        </w:tc>
        <w:tc>
          <w:tcPr>
            <w:tcW w:w="317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职称、职务</w:t>
            </w:r>
          </w:p>
        </w:tc>
      </w:tr>
      <w:tr>
        <w:tblPrEx>
          <w:tblCellMar>
            <w:top w:w="0" w:type="dxa"/>
            <w:left w:w="108" w:type="dxa"/>
            <w:bottom w:w="0" w:type="dxa"/>
            <w:right w:w="108" w:type="dxa"/>
          </w:tblCellMar>
        </w:tblPrEx>
        <w:trPr>
          <w:trHeight w:val="436" w:hRule="atLeast"/>
        </w:trPr>
        <w:tc>
          <w:tcPr>
            <w:tcW w:w="1124" w:type="dxa"/>
            <w:vMerge w:val="continue"/>
            <w:tcBorders>
              <w:top w:val="nil"/>
              <w:left w:val="single" w:color="auto" w:sz="4" w:space="0"/>
              <w:bottom w:val="nil"/>
              <w:right w:val="single" w:color="auto" w:sz="4" w:space="0"/>
            </w:tcBorders>
            <w:noWrap w:val="0"/>
            <w:vAlign w:val="center"/>
          </w:tcPr>
          <w:p>
            <w:pPr>
              <w:widowControl/>
              <w:jc w:val="center"/>
              <w:rPr>
                <w:rFonts w:ascii="宋体" w:hAnsi="宋体" w:cs="宋体"/>
                <w:kern w:val="0"/>
                <w:sz w:val="20"/>
                <w:szCs w:val="20"/>
              </w:rPr>
            </w:pPr>
          </w:p>
        </w:tc>
        <w:tc>
          <w:tcPr>
            <w:tcW w:w="108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szCs w:val="20"/>
              </w:rPr>
            </w:pPr>
          </w:p>
        </w:tc>
        <w:tc>
          <w:tcPr>
            <w:tcW w:w="2019" w:type="dxa"/>
            <w:gridSpan w:val="2"/>
            <w:tcBorders>
              <w:top w:val="single" w:color="auto" w:sz="4" w:space="0"/>
              <w:left w:val="nil"/>
              <w:bottom w:val="single" w:color="auto" w:sz="4" w:space="0"/>
              <w:right w:val="single" w:color="000000" w:sz="8" w:space="0"/>
            </w:tcBorders>
            <w:noWrap w:val="0"/>
            <w:vAlign w:val="center"/>
          </w:tcPr>
          <w:p>
            <w:pPr>
              <w:widowControl/>
              <w:jc w:val="center"/>
              <w:rPr>
                <w:rFonts w:ascii="宋体" w:hAnsi="宋体" w:cs="宋体"/>
                <w:kern w:val="0"/>
                <w:sz w:val="20"/>
                <w:szCs w:val="20"/>
              </w:rPr>
            </w:pPr>
          </w:p>
        </w:tc>
        <w:tc>
          <w:tcPr>
            <w:tcW w:w="2692" w:type="dxa"/>
            <w:gridSpan w:val="2"/>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kern w:val="0"/>
                <w:sz w:val="20"/>
                <w:szCs w:val="20"/>
              </w:rPr>
            </w:pPr>
          </w:p>
        </w:tc>
        <w:tc>
          <w:tcPr>
            <w:tcW w:w="3176"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36" w:hRule="atLeast"/>
        </w:trPr>
        <w:tc>
          <w:tcPr>
            <w:tcW w:w="1124" w:type="dxa"/>
            <w:vMerge w:val="continue"/>
            <w:tcBorders>
              <w:top w:val="nil"/>
              <w:left w:val="single" w:color="auto" w:sz="4" w:space="0"/>
              <w:bottom w:val="nil"/>
              <w:right w:val="single" w:color="auto" w:sz="4" w:space="0"/>
            </w:tcBorders>
            <w:noWrap w:val="0"/>
            <w:vAlign w:val="center"/>
          </w:tcPr>
          <w:p>
            <w:pPr>
              <w:widowControl/>
              <w:jc w:val="center"/>
              <w:rPr>
                <w:rFonts w:ascii="宋体" w:hAnsi="宋体" w:cs="宋体"/>
                <w:kern w:val="0"/>
                <w:sz w:val="20"/>
                <w:szCs w:val="20"/>
              </w:rPr>
            </w:pPr>
          </w:p>
        </w:tc>
        <w:tc>
          <w:tcPr>
            <w:tcW w:w="108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szCs w:val="20"/>
              </w:rPr>
            </w:pPr>
          </w:p>
        </w:tc>
        <w:tc>
          <w:tcPr>
            <w:tcW w:w="2019" w:type="dxa"/>
            <w:gridSpan w:val="2"/>
            <w:tcBorders>
              <w:top w:val="single" w:color="auto" w:sz="4" w:space="0"/>
              <w:left w:val="nil"/>
              <w:bottom w:val="single" w:color="auto" w:sz="4" w:space="0"/>
              <w:right w:val="single" w:color="000000" w:sz="8" w:space="0"/>
            </w:tcBorders>
            <w:noWrap w:val="0"/>
            <w:vAlign w:val="center"/>
          </w:tcPr>
          <w:p>
            <w:pPr>
              <w:widowControl/>
              <w:jc w:val="center"/>
              <w:rPr>
                <w:rFonts w:ascii="宋体" w:hAnsi="宋体" w:cs="宋体"/>
                <w:kern w:val="0"/>
                <w:sz w:val="20"/>
                <w:szCs w:val="20"/>
              </w:rPr>
            </w:pPr>
          </w:p>
        </w:tc>
        <w:tc>
          <w:tcPr>
            <w:tcW w:w="2692" w:type="dxa"/>
            <w:gridSpan w:val="2"/>
            <w:tcBorders>
              <w:top w:val="single" w:color="auto" w:sz="4" w:space="0"/>
              <w:left w:val="single" w:color="auto" w:sz="4" w:space="0"/>
              <w:bottom w:val="single" w:color="auto" w:sz="4" w:space="0"/>
              <w:right w:val="single" w:color="000000" w:sz="8" w:space="0"/>
            </w:tcBorders>
            <w:noWrap w:val="0"/>
            <w:vAlign w:val="center"/>
          </w:tcPr>
          <w:p>
            <w:pPr>
              <w:widowControl/>
              <w:jc w:val="center"/>
              <w:rPr>
                <w:rFonts w:ascii="宋体" w:hAnsi="宋体" w:cs="宋体"/>
                <w:kern w:val="0"/>
                <w:sz w:val="20"/>
                <w:szCs w:val="20"/>
              </w:rPr>
            </w:pPr>
          </w:p>
        </w:tc>
        <w:tc>
          <w:tcPr>
            <w:tcW w:w="317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36" w:hRule="atLeast"/>
        </w:trPr>
        <w:tc>
          <w:tcPr>
            <w:tcW w:w="1124" w:type="dxa"/>
            <w:vMerge w:val="continue"/>
            <w:tcBorders>
              <w:top w:val="nil"/>
              <w:left w:val="single" w:color="auto" w:sz="4" w:space="0"/>
              <w:bottom w:val="nil"/>
              <w:right w:val="single" w:color="auto" w:sz="4" w:space="0"/>
            </w:tcBorders>
            <w:noWrap w:val="0"/>
            <w:vAlign w:val="center"/>
          </w:tcPr>
          <w:p>
            <w:pPr>
              <w:widowControl/>
              <w:jc w:val="center"/>
              <w:rPr>
                <w:rFonts w:ascii="宋体" w:hAnsi="宋体" w:cs="宋体"/>
                <w:kern w:val="0"/>
                <w:sz w:val="20"/>
                <w:szCs w:val="20"/>
              </w:rPr>
            </w:pPr>
          </w:p>
        </w:tc>
        <w:tc>
          <w:tcPr>
            <w:tcW w:w="1088" w:type="dxa"/>
            <w:tcBorders>
              <w:top w:val="nil"/>
              <w:left w:val="nil"/>
              <w:bottom w:val="single" w:color="auto" w:sz="4" w:space="0"/>
              <w:right w:val="single" w:color="auto" w:sz="4" w:space="0"/>
            </w:tcBorders>
            <w:noWrap w:val="0"/>
            <w:vAlign w:val="center"/>
          </w:tcPr>
          <w:p>
            <w:pPr>
              <w:widowControl/>
              <w:jc w:val="center"/>
              <w:rPr>
                <w:rFonts w:ascii="宋体" w:hAnsi="宋体" w:cs="宋体"/>
                <w:kern w:val="0"/>
                <w:sz w:val="20"/>
                <w:szCs w:val="20"/>
              </w:rPr>
            </w:pPr>
          </w:p>
        </w:tc>
        <w:tc>
          <w:tcPr>
            <w:tcW w:w="2019" w:type="dxa"/>
            <w:gridSpan w:val="2"/>
            <w:tcBorders>
              <w:top w:val="single" w:color="auto" w:sz="4" w:space="0"/>
              <w:left w:val="nil"/>
              <w:bottom w:val="single" w:color="auto" w:sz="4" w:space="0"/>
              <w:right w:val="single" w:color="000000" w:sz="8" w:space="0"/>
            </w:tcBorders>
            <w:noWrap w:val="0"/>
            <w:vAlign w:val="center"/>
          </w:tcPr>
          <w:p>
            <w:pPr>
              <w:widowControl/>
              <w:jc w:val="center"/>
              <w:rPr>
                <w:rFonts w:ascii="宋体" w:hAnsi="宋体" w:cs="宋体"/>
                <w:kern w:val="0"/>
                <w:sz w:val="20"/>
                <w:szCs w:val="20"/>
              </w:rPr>
            </w:pPr>
          </w:p>
        </w:tc>
        <w:tc>
          <w:tcPr>
            <w:tcW w:w="2692" w:type="dxa"/>
            <w:gridSpan w:val="2"/>
            <w:tcBorders>
              <w:top w:val="single" w:color="auto" w:sz="4" w:space="0"/>
              <w:left w:val="single" w:color="auto" w:sz="4" w:space="0"/>
              <w:bottom w:val="single" w:color="auto" w:sz="4" w:space="0"/>
              <w:right w:val="single" w:color="000000" w:sz="8" w:space="0"/>
            </w:tcBorders>
            <w:noWrap w:val="0"/>
            <w:vAlign w:val="center"/>
          </w:tcPr>
          <w:p>
            <w:pPr>
              <w:widowControl/>
              <w:jc w:val="center"/>
              <w:rPr>
                <w:rFonts w:ascii="宋体" w:hAnsi="宋体" w:cs="宋体"/>
                <w:kern w:val="0"/>
                <w:sz w:val="20"/>
                <w:szCs w:val="20"/>
              </w:rPr>
            </w:pPr>
          </w:p>
        </w:tc>
        <w:tc>
          <w:tcPr>
            <w:tcW w:w="3176"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36" w:hRule="atLeast"/>
        </w:trPr>
        <w:tc>
          <w:tcPr>
            <w:tcW w:w="1124"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近十年主要工作业绩</w:t>
            </w:r>
          </w:p>
        </w:tc>
        <w:tc>
          <w:tcPr>
            <w:tcW w:w="1088"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起止时间</w:t>
            </w:r>
          </w:p>
        </w:tc>
        <w:tc>
          <w:tcPr>
            <w:tcW w:w="2019"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工作项目名称（概况）</w:t>
            </w:r>
          </w:p>
        </w:tc>
        <w:tc>
          <w:tcPr>
            <w:tcW w:w="269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主要业绩（获奖）</w:t>
            </w:r>
          </w:p>
        </w:tc>
        <w:tc>
          <w:tcPr>
            <w:tcW w:w="317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r>
              <w:rPr>
                <w:rFonts w:hint="eastAsia" w:ascii="宋体" w:hAnsi="宋体" w:cs="宋体"/>
                <w:kern w:val="0"/>
                <w:sz w:val="20"/>
                <w:szCs w:val="20"/>
              </w:rPr>
              <w:t>本人作用</w:t>
            </w:r>
          </w:p>
        </w:tc>
      </w:tr>
      <w:tr>
        <w:tblPrEx>
          <w:tblCellMar>
            <w:top w:w="0" w:type="dxa"/>
            <w:left w:w="108" w:type="dxa"/>
            <w:bottom w:w="0" w:type="dxa"/>
            <w:right w:w="108" w:type="dxa"/>
          </w:tblCellMar>
        </w:tblPrEx>
        <w:trPr>
          <w:trHeight w:val="436" w:hRule="atLeast"/>
        </w:trPr>
        <w:tc>
          <w:tcPr>
            <w:tcW w:w="1124"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kern w:val="0"/>
                <w:sz w:val="20"/>
                <w:szCs w:val="20"/>
              </w:rPr>
            </w:pPr>
          </w:p>
        </w:tc>
        <w:tc>
          <w:tcPr>
            <w:tcW w:w="1088"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2019" w:type="dxa"/>
            <w:gridSpan w:val="2"/>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kern w:val="0"/>
                <w:sz w:val="20"/>
                <w:szCs w:val="20"/>
              </w:rPr>
            </w:pPr>
          </w:p>
        </w:tc>
        <w:tc>
          <w:tcPr>
            <w:tcW w:w="269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kern w:val="0"/>
                <w:sz w:val="20"/>
                <w:szCs w:val="20"/>
              </w:rPr>
            </w:pPr>
          </w:p>
        </w:tc>
        <w:tc>
          <w:tcPr>
            <w:tcW w:w="317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36" w:hRule="atLeast"/>
        </w:trPr>
        <w:tc>
          <w:tcPr>
            <w:tcW w:w="1124"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kern w:val="0"/>
                <w:sz w:val="20"/>
                <w:szCs w:val="20"/>
              </w:rPr>
            </w:pPr>
          </w:p>
        </w:tc>
        <w:tc>
          <w:tcPr>
            <w:tcW w:w="1088"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2019" w:type="dxa"/>
            <w:gridSpan w:val="2"/>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kern w:val="0"/>
                <w:sz w:val="20"/>
                <w:szCs w:val="20"/>
              </w:rPr>
            </w:pPr>
          </w:p>
        </w:tc>
        <w:tc>
          <w:tcPr>
            <w:tcW w:w="269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kern w:val="0"/>
                <w:sz w:val="20"/>
                <w:szCs w:val="20"/>
              </w:rPr>
            </w:pPr>
          </w:p>
        </w:tc>
        <w:tc>
          <w:tcPr>
            <w:tcW w:w="317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36" w:hRule="atLeast"/>
        </w:trPr>
        <w:tc>
          <w:tcPr>
            <w:tcW w:w="1124"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kern w:val="0"/>
                <w:sz w:val="20"/>
                <w:szCs w:val="20"/>
              </w:rPr>
            </w:pPr>
          </w:p>
        </w:tc>
        <w:tc>
          <w:tcPr>
            <w:tcW w:w="1088"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2019" w:type="dxa"/>
            <w:gridSpan w:val="2"/>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kern w:val="0"/>
                <w:sz w:val="20"/>
                <w:szCs w:val="20"/>
              </w:rPr>
            </w:pPr>
          </w:p>
        </w:tc>
        <w:tc>
          <w:tcPr>
            <w:tcW w:w="269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kern w:val="0"/>
                <w:sz w:val="20"/>
                <w:szCs w:val="20"/>
              </w:rPr>
            </w:pPr>
          </w:p>
        </w:tc>
        <w:tc>
          <w:tcPr>
            <w:tcW w:w="317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436" w:hRule="atLeast"/>
        </w:trPr>
        <w:tc>
          <w:tcPr>
            <w:tcW w:w="1124"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kern w:val="0"/>
                <w:sz w:val="20"/>
                <w:szCs w:val="20"/>
              </w:rPr>
            </w:pPr>
          </w:p>
        </w:tc>
        <w:tc>
          <w:tcPr>
            <w:tcW w:w="1088"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c>
          <w:tcPr>
            <w:tcW w:w="2019" w:type="dxa"/>
            <w:gridSpan w:val="2"/>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kern w:val="0"/>
                <w:sz w:val="20"/>
                <w:szCs w:val="20"/>
              </w:rPr>
            </w:pPr>
          </w:p>
        </w:tc>
        <w:tc>
          <w:tcPr>
            <w:tcW w:w="2692" w:type="dxa"/>
            <w:gridSpan w:val="2"/>
            <w:tcBorders>
              <w:top w:val="single" w:color="auto" w:sz="4" w:space="0"/>
              <w:left w:val="nil"/>
              <w:bottom w:val="single" w:color="auto" w:sz="4" w:space="0"/>
              <w:right w:val="single" w:color="000000" w:sz="4" w:space="0"/>
            </w:tcBorders>
            <w:noWrap/>
            <w:vAlign w:val="center"/>
          </w:tcPr>
          <w:p>
            <w:pPr>
              <w:widowControl/>
              <w:jc w:val="center"/>
              <w:rPr>
                <w:rFonts w:ascii="宋体" w:hAnsi="宋体" w:cs="宋体"/>
                <w:kern w:val="0"/>
                <w:sz w:val="20"/>
                <w:szCs w:val="20"/>
              </w:rPr>
            </w:pPr>
          </w:p>
        </w:tc>
        <w:tc>
          <w:tcPr>
            <w:tcW w:w="3176" w:type="dxa"/>
            <w:tcBorders>
              <w:top w:val="nil"/>
              <w:left w:val="nil"/>
              <w:bottom w:val="single" w:color="auto" w:sz="4" w:space="0"/>
              <w:right w:val="single" w:color="auto" w:sz="4" w:space="0"/>
            </w:tcBorders>
            <w:noWrap/>
            <w:vAlign w:val="center"/>
          </w:tcPr>
          <w:p>
            <w:pPr>
              <w:widowControl/>
              <w:jc w:val="center"/>
              <w:rPr>
                <w:rFonts w:ascii="宋体" w:hAnsi="宋体" w:cs="宋体"/>
                <w:kern w:val="0"/>
                <w:sz w:val="20"/>
                <w:szCs w:val="20"/>
              </w:rPr>
            </w:pPr>
          </w:p>
        </w:tc>
      </w:tr>
      <w:tr>
        <w:tblPrEx>
          <w:tblCellMar>
            <w:top w:w="0" w:type="dxa"/>
            <w:left w:w="108" w:type="dxa"/>
            <w:bottom w:w="0" w:type="dxa"/>
            <w:right w:w="108" w:type="dxa"/>
          </w:tblCellMar>
        </w:tblPrEx>
        <w:trPr>
          <w:trHeight w:val="1046" w:hRule="atLeast"/>
        </w:trPr>
        <w:tc>
          <w:tcPr>
            <w:tcW w:w="1124" w:type="dxa"/>
            <w:vMerge w:val="restart"/>
            <w:tcBorders>
              <w:top w:val="nil"/>
              <w:left w:val="single" w:color="auto" w:sz="4" w:space="0"/>
              <w:right w:val="single" w:color="auto" w:sz="4" w:space="0"/>
            </w:tcBorders>
            <w:noWrap w:val="0"/>
            <w:vAlign w:val="center"/>
          </w:tcPr>
          <w:p>
            <w:pPr>
              <w:widowControl/>
              <w:jc w:val="center"/>
              <w:rPr>
                <w:rFonts w:hint="eastAsia" w:ascii="宋体" w:hAnsi="宋体" w:cs="宋体"/>
                <w:kern w:val="0"/>
                <w:sz w:val="20"/>
                <w:szCs w:val="20"/>
              </w:rPr>
            </w:pPr>
            <w:r>
              <w:rPr>
                <w:rFonts w:hint="eastAsia" w:ascii="宋体" w:hAnsi="宋体" w:cs="宋体"/>
                <w:kern w:val="0"/>
                <w:sz w:val="20"/>
                <w:szCs w:val="20"/>
              </w:rPr>
              <w:t>擅长内容</w:t>
            </w:r>
          </w:p>
        </w:tc>
        <w:tc>
          <w:tcPr>
            <w:tcW w:w="8975" w:type="dxa"/>
            <w:gridSpan w:val="6"/>
            <w:vMerge w:val="restart"/>
            <w:tcBorders>
              <w:top w:val="nil"/>
              <w:left w:val="nil"/>
              <w:bottom w:val="single" w:color="auto" w:sz="4" w:space="0"/>
              <w:right w:val="single" w:color="auto" w:sz="4" w:space="0"/>
            </w:tcBorders>
            <w:noWrap/>
            <w:vAlign w:val="center"/>
          </w:tcPr>
          <w:p>
            <w:pPr>
              <w:widowControl/>
              <w:jc w:val="center"/>
              <w:rPr>
                <w:rFonts w:hint="eastAsia" w:ascii="宋体" w:hAnsi="宋体" w:cs="宋体"/>
                <w:kern w:val="0"/>
                <w:sz w:val="20"/>
                <w:szCs w:val="20"/>
              </w:rPr>
            </w:pPr>
            <w:r>
              <w:rPr>
                <w:rFonts w:ascii="宋体" w:hAnsi="宋体" w:cs="宋体"/>
                <w:kern w:val="0"/>
                <w:sz w:val="20"/>
                <w:szCs w:val="20"/>
              </w:rPr>
              <w:sym w:font="Wingdings" w:char="00A8"/>
            </w:r>
            <w:r>
              <w:rPr>
                <w:rFonts w:hint="eastAsia" w:ascii="宋体" w:hAnsi="宋体" w:cs="宋体"/>
                <w:kern w:val="0"/>
                <w:sz w:val="20"/>
                <w:szCs w:val="20"/>
              </w:rPr>
              <w:t xml:space="preserve">政策制定    </w:t>
            </w:r>
            <w:r>
              <w:rPr>
                <w:rFonts w:ascii="宋体" w:hAnsi="宋体" w:cs="宋体"/>
                <w:kern w:val="0"/>
                <w:sz w:val="20"/>
                <w:szCs w:val="20"/>
              </w:rPr>
              <w:sym w:font="Wingdings" w:char="00A8"/>
            </w:r>
            <w:r>
              <w:rPr>
                <w:rFonts w:hint="eastAsia" w:ascii="宋体" w:hAnsi="宋体" w:cs="宋体"/>
                <w:kern w:val="0"/>
                <w:sz w:val="20"/>
                <w:szCs w:val="20"/>
              </w:rPr>
              <w:t xml:space="preserve">行业发展    </w:t>
            </w:r>
            <w:r>
              <w:rPr>
                <w:rFonts w:ascii="宋体" w:hAnsi="宋体" w:cs="宋体"/>
                <w:kern w:val="0"/>
                <w:sz w:val="20"/>
                <w:szCs w:val="20"/>
              </w:rPr>
              <w:sym w:font="Wingdings" w:char="00A8"/>
            </w:r>
            <w:r>
              <w:rPr>
                <w:rFonts w:hint="eastAsia" w:ascii="宋体" w:hAnsi="宋体" w:cs="宋体"/>
                <w:kern w:val="0"/>
                <w:sz w:val="20"/>
                <w:szCs w:val="20"/>
              </w:rPr>
              <w:t xml:space="preserve">应急处置与事故调查    </w:t>
            </w:r>
            <w:r>
              <w:rPr>
                <w:rFonts w:ascii="宋体" w:hAnsi="宋体" w:cs="宋体"/>
                <w:kern w:val="0"/>
                <w:sz w:val="20"/>
                <w:szCs w:val="20"/>
              </w:rPr>
              <w:sym w:font="Wingdings" w:char="00A8"/>
            </w:r>
            <w:r>
              <w:rPr>
                <w:rFonts w:hint="eastAsia" w:ascii="宋体" w:hAnsi="宋体" w:cs="宋体"/>
                <w:kern w:val="0"/>
                <w:sz w:val="20"/>
                <w:szCs w:val="20"/>
              </w:rPr>
              <w:t xml:space="preserve">安全检查    </w:t>
            </w:r>
            <w:r>
              <w:rPr>
                <w:rFonts w:ascii="宋体" w:hAnsi="宋体" w:cs="宋体"/>
                <w:kern w:val="0"/>
                <w:sz w:val="20"/>
                <w:szCs w:val="20"/>
              </w:rPr>
              <w:sym w:font="Wingdings" w:char="00A8"/>
            </w:r>
            <w:r>
              <w:rPr>
                <w:rFonts w:hint="eastAsia" w:ascii="宋体" w:hAnsi="宋体" w:cs="宋体"/>
                <w:kern w:val="0"/>
                <w:sz w:val="20"/>
                <w:szCs w:val="20"/>
              </w:rPr>
              <w:t xml:space="preserve">学术研究    </w:t>
            </w:r>
            <w:r>
              <w:rPr>
                <w:rFonts w:ascii="宋体" w:hAnsi="宋体" w:cs="宋体"/>
                <w:kern w:val="0"/>
                <w:sz w:val="20"/>
                <w:szCs w:val="20"/>
              </w:rPr>
              <w:sym w:font="Wingdings" w:char="00A8"/>
            </w:r>
            <w:r>
              <w:rPr>
                <w:rFonts w:hint="eastAsia" w:ascii="宋体" w:hAnsi="宋体" w:cs="宋体"/>
                <w:kern w:val="0"/>
                <w:sz w:val="20"/>
                <w:szCs w:val="20"/>
              </w:rPr>
              <w:t>其他</w:t>
            </w:r>
          </w:p>
        </w:tc>
      </w:tr>
      <w:tr>
        <w:tblPrEx>
          <w:tblCellMar>
            <w:top w:w="0" w:type="dxa"/>
            <w:left w:w="108" w:type="dxa"/>
            <w:bottom w:w="0" w:type="dxa"/>
            <w:right w:w="108" w:type="dxa"/>
          </w:tblCellMar>
        </w:tblPrEx>
        <w:trPr>
          <w:trHeight w:val="436" w:hRule="atLeast"/>
        </w:trPr>
        <w:tc>
          <w:tcPr>
            <w:tcW w:w="1124" w:type="dxa"/>
            <w:vMerge w:val="restart"/>
            <w:tcBorders>
              <w:top w:val="single" w:color="auto" w:sz="4" w:space="0"/>
              <w:left w:val="single" w:color="auto" w:sz="4" w:space="0"/>
              <w:bottom w:val="single" w:color="000000" w:sz="4" w:space="0"/>
              <w:right w:val="single" w:color="auto" w:sz="4" w:space="0"/>
            </w:tcBorders>
            <w:noWrap/>
            <w:vAlign w:val="center"/>
          </w:tcPr>
          <w:p>
            <w:pPr>
              <w:pStyle w:val="7"/>
              <w:widowControl/>
              <w:spacing w:beforeAutospacing="0" w:afterAutospacing="0" w:line="0" w:lineRule="atLeast"/>
              <w:jc w:val="center"/>
              <w:rPr>
                <w:rFonts w:hint="eastAsia" w:ascii="宋体" w:hAnsi="宋体" w:cs="宋体"/>
                <w:sz w:val="20"/>
                <w:szCs w:val="20"/>
              </w:rPr>
            </w:pPr>
            <w:r>
              <w:rPr>
                <w:rFonts w:hint="eastAsia" w:ascii="宋体" w:hAnsi="宋体" w:cs="宋体"/>
                <w:sz w:val="20"/>
                <w:szCs w:val="20"/>
              </w:rPr>
              <w:t>所在单位（专家）推荐意见</w:t>
            </w:r>
          </w:p>
          <w:p>
            <w:pPr>
              <w:widowControl/>
              <w:jc w:val="center"/>
              <w:rPr>
                <w:rFonts w:ascii="宋体" w:hAnsi="宋体" w:cs="宋体"/>
                <w:kern w:val="0"/>
                <w:sz w:val="20"/>
                <w:szCs w:val="20"/>
              </w:rPr>
            </w:pPr>
          </w:p>
        </w:tc>
        <w:tc>
          <w:tcPr>
            <w:tcW w:w="8975" w:type="dxa"/>
            <w:gridSpan w:val="6"/>
            <w:vMerge w:val="restart"/>
            <w:tcBorders>
              <w:top w:val="single" w:color="auto" w:sz="4" w:space="0"/>
              <w:left w:val="single" w:color="auto" w:sz="4" w:space="0"/>
              <w:bottom w:val="nil"/>
              <w:right w:val="single" w:color="000000" w:sz="4" w:space="0"/>
            </w:tcBorders>
            <w:noWrap w:val="0"/>
            <w:vAlign w:val="center"/>
          </w:tcPr>
          <w:p>
            <w:pPr>
              <w:widowControl/>
              <w:ind w:firstLine="420"/>
              <w:jc w:val="left"/>
              <w:rPr>
                <w:rFonts w:hint="eastAsia" w:ascii="宋体" w:hAnsi="宋体" w:cs="宋体"/>
                <w:kern w:val="0"/>
                <w:sz w:val="20"/>
                <w:szCs w:val="20"/>
              </w:rPr>
            </w:pPr>
          </w:p>
          <w:p>
            <w:pPr>
              <w:widowControl/>
              <w:ind w:firstLine="5000" w:firstLineChars="2500"/>
              <w:jc w:val="left"/>
              <w:rPr>
                <w:rFonts w:hint="eastAsia" w:ascii="宋体" w:hAnsi="宋体" w:cs="宋体"/>
                <w:kern w:val="0"/>
                <w:sz w:val="20"/>
                <w:szCs w:val="20"/>
              </w:rPr>
            </w:pPr>
            <w:r>
              <w:rPr>
                <w:rFonts w:hint="eastAsia" w:ascii="宋体" w:hAnsi="宋体" w:cs="宋体"/>
                <w:kern w:val="0"/>
                <w:sz w:val="20"/>
                <w:szCs w:val="20"/>
              </w:rPr>
              <w:t>单位（盖章）</w:t>
            </w:r>
          </w:p>
        </w:tc>
      </w:tr>
      <w:tr>
        <w:tblPrEx>
          <w:tblCellMar>
            <w:top w:w="0" w:type="dxa"/>
            <w:left w:w="108" w:type="dxa"/>
            <w:bottom w:w="0" w:type="dxa"/>
            <w:right w:w="108" w:type="dxa"/>
          </w:tblCellMar>
        </w:tblPrEx>
        <w:trPr>
          <w:trHeight w:val="436" w:hRule="atLeast"/>
        </w:trPr>
        <w:tc>
          <w:tcPr>
            <w:tcW w:w="1124"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0"/>
                <w:szCs w:val="20"/>
              </w:rPr>
            </w:pPr>
          </w:p>
        </w:tc>
        <w:tc>
          <w:tcPr>
            <w:tcW w:w="8975" w:type="dxa"/>
            <w:gridSpan w:val="6"/>
            <w:vMerge w:val="continue"/>
            <w:tcBorders>
              <w:top w:val="single" w:color="auto" w:sz="4" w:space="0"/>
              <w:left w:val="single" w:color="auto" w:sz="4" w:space="0"/>
              <w:bottom w:val="nil"/>
              <w:right w:val="single" w:color="000000" w:sz="4" w:space="0"/>
            </w:tcBorders>
            <w:noWrap w:val="0"/>
            <w:vAlign w:val="center"/>
          </w:tcPr>
          <w:p>
            <w:pPr>
              <w:widowControl/>
              <w:jc w:val="left"/>
              <w:rPr>
                <w:rFonts w:ascii="宋体" w:hAnsi="宋体" w:cs="宋体"/>
                <w:kern w:val="0"/>
                <w:sz w:val="20"/>
                <w:szCs w:val="20"/>
              </w:rPr>
            </w:pPr>
          </w:p>
        </w:tc>
      </w:tr>
      <w:tr>
        <w:tblPrEx>
          <w:tblCellMar>
            <w:top w:w="0" w:type="dxa"/>
            <w:left w:w="108" w:type="dxa"/>
            <w:bottom w:w="0" w:type="dxa"/>
            <w:right w:w="108" w:type="dxa"/>
          </w:tblCellMar>
        </w:tblPrEx>
        <w:trPr>
          <w:trHeight w:val="455" w:hRule="atLeast"/>
        </w:trPr>
        <w:tc>
          <w:tcPr>
            <w:tcW w:w="1124"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kern w:val="0"/>
                <w:sz w:val="20"/>
                <w:szCs w:val="20"/>
              </w:rPr>
            </w:pPr>
          </w:p>
        </w:tc>
        <w:tc>
          <w:tcPr>
            <w:tcW w:w="8975" w:type="dxa"/>
            <w:gridSpan w:val="6"/>
            <w:tcBorders>
              <w:top w:val="nil"/>
              <w:left w:val="nil"/>
              <w:bottom w:val="single" w:color="auto" w:sz="4" w:space="0"/>
              <w:right w:val="single" w:color="000000" w:sz="4" w:space="0"/>
            </w:tcBorders>
            <w:noWrap/>
            <w:vAlign w:val="center"/>
          </w:tcPr>
          <w:p>
            <w:pPr>
              <w:widowControl/>
              <w:ind w:firstLine="4800" w:firstLineChars="2400"/>
              <w:jc w:val="left"/>
              <w:rPr>
                <w:rFonts w:ascii="宋体" w:hAnsi="宋体" w:cs="宋体"/>
                <w:kern w:val="0"/>
                <w:sz w:val="20"/>
                <w:szCs w:val="20"/>
              </w:rPr>
            </w:pPr>
            <w:r>
              <w:rPr>
                <w:rFonts w:hint="eastAsia" w:ascii="宋体" w:hAnsi="宋体" w:cs="宋体"/>
                <w:kern w:val="0"/>
                <w:sz w:val="20"/>
                <w:szCs w:val="20"/>
              </w:rPr>
              <w:t xml:space="preserve">     年    月    日</w:t>
            </w:r>
          </w:p>
        </w:tc>
      </w:tr>
    </w:tbl>
    <w:p>
      <w:pPr>
        <w:spacing w:line="280" w:lineRule="exact"/>
        <w:ind w:right="-483" w:rightChars="-230"/>
        <w:jc w:val="left"/>
        <w:rPr>
          <w:rFonts w:hint="eastAsia" w:ascii="仿宋" w:hAnsi="仿宋" w:eastAsia="仿宋" w:cs="仿宋"/>
          <w:sz w:val="24"/>
          <w:szCs w:val="24"/>
        </w:rPr>
      </w:pPr>
      <w:r>
        <w:rPr>
          <w:rFonts w:hint="eastAsia" w:ascii="仿宋" w:hAnsi="仿宋" w:eastAsia="仿宋" w:cs="仿宋"/>
          <w:sz w:val="24"/>
          <w:szCs w:val="24"/>
        </w:rPr>
        <w:t>备注:1.本表如栏内填写不下，可加附页，所填内容必须真实。</w:t>
      </w:r>
    </w:p>
    <w:p>
      <w:pPr>
        <w:spacing w:line="280" w:lineRule="exact"/>
        <w:ind w:left="854" w:leftChars="303" w:hanging="218" w:hangingChars="91"/>
        <w:jc w:val="left"/>
        <w:rPr>
          <w:rFonts w:hint="eastAsia" w:ascii="仿宋" w:hAnsi="仿宋" w:eastAsia="仿宋" w:cs="仿宋"/>
          <w:sz w:val="24"/>
          <w:szCs w:val="24"/>
        </w:rPr>
      </w:pPr>
      <w:r>
        <w:rPr>
          <w:rFonts w:hint="eastAsia" w:ascii="仿宋" w:hAnsi="仿宋" w:eastAsia="仿宋" w:cs="仿宋"/>
          <w:sz w:val="24"/>
          <w:szCs w:val="24"/>
        </w:rPr>
        <w:t>2.退休人员、无单位人员等无法加盖单位公章的，由本人在“所在单位（专家）推荐意见栏”处签字确认。</w:t>
      </w:r>
    </w:p>
    <w:p>
      <w:pPr>
        <w:spacing w:line="280" w:lineRule="exact"/>
        <w:ind w:right="-483" w:rightChars="-230" w:firstLine="638" w:firstLineChars="266"/>
        <w:jc w:val="left"/>
        <w:rPr>
          <w:rFonts w:hint="eastAsia"/>
        </w:rPr>
      </w:pPr>
      <w:r>
        <w:rPr>
          <w:rFonts w:hint="eastAsia" w:ascii="仿宋" w:hAnsi="仿宋" w:eastAsia="仿宋" w:cs="仿宋"/>
          <w:sz w:val="24"/>
          <w:szCs w:val="24"/>
        </w:rPr>
        <w:t>3.申报时应提供红底小二寸彩色照片2张。</w:t>
      </w:r>
    </w:p>
    <w:sectPr>
      <w:footerReference r:id="rId3" w:type="default"/>
      <w:pgSz w:w="11906" w:h="16838"/>
      <w:pgMar w:top="1701" w:right="1531" w:bottom="1440" w:left="1531" w:header="851" w:footer="743" w:gutter="0"/>
      <w:pgNumType w:fmt="numberInDash" w:start="3"/>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E0381D18-DCA1-46BF-A450-1348B6DDCA25}"/>
  </w:font>
  <w:font w:name="宋体">
    <w:panose1 w:val="02010600030101010101"/>
    <w:charset w:val="86"/>
    <w:family w:val="auto"/>
    <w:pitch w:val="default"/>
    <w:sig w:usb0="00000203" w:usb1="288F0000" w:usb2="00000006" w:usb3="00000000" w:csb0="00040001" w:csb1="00000000"/>
    <w:embedRegular r:id="rId2" w:fontKey="{15AD5C97-A2C0-4FE5-956B-F6E1D718FCB7}"/>
  </w:font>
  <w:font w:name="Wingdings">
    <w:panose1 w:val="05000000000000000000"/>
    <w:charset w:val="02"/>
    <w:family w:val="auto"/>
    <w:pitch w:val="default"/>
    <w:sig w:usb0="00000000" w:usb1="00000000" w:usb2="00000000" w:usb3="00000000" w:csb0="80000000" w:csb1="00000000"/>
    <w:embedRegular r:id="rId3" w:fontKey="{EB96402A-D2D3-499D-8995-524927B58634}"/>
  </w:font>
  <w:font w:name="Arial">
    <w:panose1 w:val="020B0604020202020204"/>
    <w:charset w:val="01"/>
    <w:family w:val="swiss"/>
    <w:pitch w:val="default"/>
    <w:sig w:usb0="E0002EFF" w:usb1="C000785B" w:usb2="00000009" w:usb3="00000000" w:csb0="400001FF" w:csb1="FFFF0000"/>
    <w:embedRegular r:id="rId4" w:fontKey="{23218573-61F7-4EDC-B385-D0D027EC01AA}"/>
  </w:font>
  <w:font w:name="黑体">
    <w:panose1 w:val="02010609060101010101"/>
    <w:charset w:val="86"/>
    <w:family w:val="auto"/>
    <w:pitch w:val="default"/>
    <w:sig w:usb0="800002BF" w:usb1="38CF7CFA" w:usb2="00000016" w:usb3="00000000" w:csb0="00040001" w:csb1="00000000"/>
    <w:embedRegular r:id="rId5" w:fontKey="{0AB780FD-626D-49F1-869A-B774A469134B}"/>
  </w:font>
  <w:font w:name="Courier New">
    <w:panose1 w:val="02070309020205020404"/>
    <w:charset w:val="01"/>
    <w:family w:val="modern"/>
    <w:pitch w:val="default"/>
    <w:sig w:usb0="E0002EFF" w:usb1="C0007843" w:usb2="00000009" w:usb3="00000000" w:csb0="400001FF" w:csb1="FFFF0000"/>
    <w:embedRegular r:id="rId6" w:fontKey="{7231B4F6-026D-474A-80B1-9AA03A73553E}"/>
  </w:font>
  <w:font w:name="Symbol">
    <w:panose1 w:val="05050102010706020507"/>
    <w:charset w:val="02"/>
    <w:family w:val="roman"/>
    <w:pitch w:val="default"/>
    <w:sig w:usb0="00000000" w:usb1="00000000" w:usb2="00000000" w:usb3="00000000" w:csb0="80000000" w:csb1="00000000"/>
    <w:embedRegular r:id="rId7" w:fontKey="{5CD67F63-E768-4A90-AF41-84271B345D37}"/>
  </w:font>
  <w:font w:name="Calibri">
    <w:panose1 w:val="020F0502020204030204"/>
    <w:charset w:val="00"/>
    <w:family w:val="swiss"/>
    <w:pitch w:val="default"/>
    <w:sig w:usb0="E4002EFF" w:usb1="C000247B" w:usb2="00000009" w:usb3="00000000" w:csb0="200001FF" w:csb1="00000000"/>
    <w:embedRegular r:id="rId8" w:fontKey="{D37BD07A-AA95-4398-AD9C-8C84CF6108ED}"/>
  </w:font>
  <w:font w:name="Cambria">
    <w:panose1 w:val="02040503050406030204"/>
    <w:charset w:val="00"/>
    <w:family w:val="roman"/>
    <w:pitch w:val="default"/>
    <w:sig w:usb0="E00006FF" w:usb1="420024FF" w:usb2="02000000" w:usb3="00000000" w:csb0="2000019F" w:csb1="00000000"/>
    <w:embedRegular r:id="rId9" w:fontKey="{FD4E58DA-2807-418C-96CC-DCCE4EAE3F7C}"/>
  </w:font>
  <w:font w:name="仿宋_GB2312">
    <w:panose1 w:val="02010609030101010101"/>
    <w:charset w:val="86"/>
    <w:family w:val="modern"/>
    <w:pitch w:val="default"/>
    <w:sig w:usb0="00000001" w:usb1="080E0000" w:usb2="00000000" w:usb3="00000000" w:csb0="00040000" w:csb1="00000000"/>
    <w:embedRegular r:id="rId10" w:fontKey="{28EDCB95-D1C8-4767-9318-99B7CEA9A5DD}"/>
  </w:font>
  <w:font w:name="方正小标宋_GBK">
    <w:panose1 w:val="03000509000000000000"/>
    <w:charset w:val="86"/>
    <w:family w:val="script"/>
    <w:pitch w:val="default"/>
    <w:sig w:usb0="00000001" w:usb1="080E0000" w:usb2="00000000" w:usb3="00000000" w:csb0="00040000" w:csb1="00000000"/>
    <w:embedRegular r:id="rId11" w:fontKey="{576E6B53-789B-4C3E-81D8-121B82376B54}"/>
  </w:font>
  <w:font w:name="方正小标宋简体">
    <w:panose1 w:val="02010601030101010101"/>
    <w:charset w:val="86"/>
    <w:family w:val="auto"/>
    <w:pitch w:val="default"/>
    <w:sig w:usb0="00000001" w:usb1="080E0000" w:usb2="00000000" w:usb3="00000000" w:csb0="00040000" w:csb1="00000000"/>
    <w:embedRegular r:id="rId12" w:fontKey="{D73C421D-0BBE-4108-8076-5E39143B52EC}"/>
  </w:font>
  <w:font w:name="楷体_GB2312">
    <w:panose1 w:val="02010609030101010101"/>
    <w:charset w:val="86"/>
    <w:family w:val="modern"/>
    <w:pitch w:val="default"/>
    <w:sig w:usb0="00000001" w:usb1="080E0000" w:usb2="00000000" w:usb3="00000000" w:csb0="00040000" w:csb1="00000000"/>
    <w:embedRegular r:id="rId13" w:fontKey="{8BBFA286-DF8F-459E-B84A-E0DFB7FE3FAC}"/>
  </w:font>
  <w:font w:name="仿宋">
    <w:panose1 w:val="02010609060101010101"/>
    <w:charset w:val="86"/>
    <w:family w:val="modern"/>
    <w:pitch w:val="default"/>
    <w:sig w:usb0="800002BF" w:usb1="38CF7CFA" w:usb2="00000016" w:usb3="00000000" w:csb0="00040001" w:csb1="00000000"/>
    <w:embedRegular r:id="rId14" w:fontKey="{1ABF20FF-B67A-4E14-A5EC-88BC7DD06057}"/>
  </w:font>
  <w:font w:name="MS Mincho">
    <w:altName w:val="Yu Gothic UI"/>
    <w:panose1 w:val="02020609040205080304"/>
    <w:charset w:val="80"/>
    <w:family w:val="modern"/>
    <w:pitch w:val="default"/>
    <w:sig w:usb0="E00002FF" w:usb1="6AC7FDFB" w:usb2="00000012" w:usb3="00000000" w:csb0="0002009F" w:csb1="00000000"/>
    <w:embedRegular r:id="rId15" w:fontKey="{46F712A2-0B53-4BE9-90C6-B0CD582FECF5}"/>
  </w:font>
  <w:font w:name="Yu Gothic UI">
    <w:panose1 w:val="020B0500000000000000"/>
    <w:charset w:val="80"/>
    <w:family w:val="auto"/>
    <w:pitch w:val="default"/>
    <w:sig w:usb0="E00002FF" w:usb1="2AC7FDFF" w:usb2="00000016" w:usb3="00000000" w:csb0="2002009F" w:csb1="00000000"/>
  </w:font>
  <w:font w:name="小标宋">
    <w:altName w:val="微软雅黑"/>
    <w:panose1 w:val="03000509000000000000"/>
    <w:charset w:val="86"/>
    <w:family w:val="auto"/>
    <w:pitch w:val="default"/>
    <w:sig w:usb0="00000000" w:usb1="00000000" w:usb2="00000000" w:usb3="00000000" w:csb0="00040000" w:csb1="00000000"/>
    <w:embedRegular r:id="rId16" w:fontKey="{DCF3AB1C-91C1-44EA-82F7-52FE01E9A6A8}"/>
  </w:font>
  <w:font w:name="微软雅黑">
    <w:panose1 w:val="020B0503020204020204"/>
    <w:charset w:val="86"/>
    <w:family w:val="auto"/>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embedRegular r:id="rId17" w:fontKey="{5E5DE7DA-8729-4DCC-8E52-DCA9ACEAA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2"/>
        <w:rFonts w:ascii="仿宋_GB2312" w:eastAsia="仿宋_GB2312" w:cs="Times New Roman"/>
        <w:sz w:val="28"/>
        <w:szCs w:val="28"/>
      </w:rPr>
    </w:pPr>
    <w:r>
      <w:rPr>
        <w:rStyle w:val="12"/>
        <w:rFonts w:ascii="仿宋_GB2312" w:eastAsia="仿宋_GB2312" w:cs="仿宋_GB2312"/>
        <w:sz w:val="28"/>
        <w:szCs w:val="28"/>
      </w:rPr>
      <w:fldChar w:fldCharType="begin"/>
    </w:r>
    <w:r>
      <w:rPr>
        <w:rStyle w:val="12"/>
        <w:rFonts w:ascii="仿宋_GB2312" w:eastAsia="仿宋_GB2312" w:cs="仿宋_GB2312"/>
        <w:sz w:val="28"/>
        <w:szCs w:val="28"/>
      </w:rPr>
      <w:instrText xml:space="preserve">PAGE  </w:instrText>
    </w:r>
    <w:r>
      <w:rPr>
        <w:rStyle w:val="12"/>
        <w:rFonts w:ascii="仿宋_GB2312" w:eastAsia="仿宋_GB2312" w:cs="仿宋_GB2312"/>
        <w:sz w:val="28"/>
        <w:szCs w:val="28"/>
      </w:rPr>
      <w:fldChar w:fldCharType="separate"/>
    </w:r>
    <w:r>
      <w:rPr>
        <w:rStyle w:val="12"/>
        <w:rFonts w:ascii="仿宋_GB2312" w:eastAsia="仿宋_GB2312" w:cs="仿宋_GB2312"/>
        <w:sz w:val="28"/>
        <w:szCs w:val="28"/>
        <w:lang/>
      </w:rPr>
      <w:t>- 11 -</w:t>
    </w:r>
    <w:r>
      <w:rPr>
        <w:rStyle w:val="12"/>
        <w:rFonts w:ascii="仿宋_GB2312" w:eastAsia="仿宋_GB2312" w:cs="仿宋_GB2312"/>
        <w:sz w:val="28"/>
        <w:szCs w:val="28"/>
      </w:rPr>
      <w:fldChar w:fldCharType="end"/>
    </w:r>
  </w:p>
  <w:p>
    <w:pPr>
      <w:pStyle w:val="5"/>
      <w:ind w:right="360" w:firstLine="360"/>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embedSystemFonts/>
  <w:bordersDoNotSurroundHeader w:val="0"/>
  <w:bordersDoNotSurroundFooter w:val="0"/>
  <w:documentProtection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2NDg3YTE5ODU0MzEwZmEwYjlmZmYwMDE0NTc2ZWYifQ=="/>
  </w:docVars>
  <w:rsids>
    <w:rsidRoot w:val="00B370FF"/>
    <w:rsid w:val="00043E3F"/>
    <w:rsid w:val="000846FF"/>
    <w:rsid w:val="001F4FB0"/>
    <w:rsid w:val="00265B49"/>
    <w:rsid w:val="002C40D9"/>
    <w:rsid w:val="003A108E"/>
    <w:rsid w:val="003D12B1"/>
    <w:rsid w:val="00472827"/>
    <w:rsid w:val="005C090D"/>
    <w:rsid w:val="005D3722"/>
    <w:rsid w:val="005D4512"/>
    <w:rsid w:val="005F21F4"/>
    <w:rsid w:val="0063324F"/>
    <w:rsid w:val="00646BED"/>
    <w:rsid w:val="00790AC7"/>
    <w:rsid w:val="007D0C5D"/>
    <w:rsid w:val="00840974"/>
    <w:rsid w:val="008C591A"/>
    <w:rsid w:val="00A17E39"/>
    <w:rsid w:val="00AF69DB"/>
    <w:rsid w:val="00B07BAD"/>
    <w:rsid w:val="00B115F9"/>
    <w:rsid w:val="00B370FF"/>
    <w:rsid w:val="00B54D0A"/>
    <w:rsid w:val="00C16EEE"/>
    <w:rsid w:val="00C17680"/>
    <w:rsid w:val="00C219B7"/>
    <w:rsid w:val="00C27565"/>
    <w:rsid w:val="00D61010"/>
    <w:rsid w:val="00D7377E"/>
    <w:rsid w:val="00E6337E"/>
    <w:rsid w:val="00EF341B"/>
    <w:rsid w:val="00F93AAB"/>
    <w:rsid w:val="00FB0782"/>
    <w:rsid w:val="00FC0455"/>
    <w:rsid w:val="01180249"/>
    <w:rsid w:val="02917FC5"/>
    <w:rsid w:val="03FF0951"/>
    <w:rsid w:val="04986A1A"/>
    <w:rsid w:val="056E146E"/>
    <w:rsid w:val="06100245"/>
    <w:rsid w:val="0838505F"/>
    <w:rsid w:val="083C4F25"/>
    <w:rsid w:val="0914299D"/>
    <w:rsid w:val="09D96EA5"/>
    <w:rsid w:val="0CEA19A4"/>
    <w:rsid w:val="0DE14385"/>
    <w:rsid w:val="0EB14497"/>
    <w:rsid w:val="10091E0C"/>
    <w:rsid w:val="119727D2"/>
    <w:rsid w:val="12285143"/>
    <w:rsid w:val="125D38F9"/>
    <w:rsid w:val="130D2989"/>
    <w:rsid w:val="131B0227"/>
    <w:rsid w:val="138D0866"/>
    <w:rsid w:val="151279DA"/>
    <w:rsid w:val="189D30CF"/>
    <w:rsid w:val="18A70B70"/>
    <w:rsid w:val="18F20563"/>
    <w:rsid w:val="19014E44"/>
    <w:rsid w:val="19510A00"/>
    <w:rsid w:val="1A564C94"/>
    <w:rsid w:val="1AF234E7"/>
    <w:rsid w:val="1B3D70BF"/>
    <w:rsid w:val="1DEF40CD"/>
    <w:rsid w:val="1E0E7789"/>
    <w:rsid w:val="1F0812B4"/>
    <w:rsid w:val="1F7F013A"/>
    <w:rsid w:val="20326204"/>
    <w:rsid w:val="20BA2322"/>
    <w:rsid w:val="20CF13CE"/>
    <w:rsid w:val="20DE2A40"/>
    <w:rsid w:val="21B05F3A"/>
    <w:rsid w:val="21B333EA"/>
    <w:rsid w:val="21CC1F61"/>
    <w:rsid w:val="220D1CCB"/>
    <w:rsid w:val="22A9699B"/>
    <w:rsid w:val="23DD6519"/>
    <w:rsid w:val="244031B8"/>
    <w:rsid w:val="245272C7"/>
    <w:rsid w:val="249E70DA"/>
    <w:rsid w:val="24EF199A"/>
    <w:rsid w:val="25917625"/>
    <w:rsid w:val="26743750"/>
    <w:rsid w:val="26844E74"/>
    <w:rsid w:val="27840BC4"/>
    <w:rsid w:val="28530C1B"/>
    <w:rsid w:val="28D64F51"/>
    <w:rsid w:val="2AA8166B"/>
    <w:rsid w:val="2ABF7536"/>
    <w:rsid w:val="2B3D2C7B"/>
    <w:rsid w:val="2D875411"/>
    <w:rsid w:val="2D9B13F0"/>
    <w:rsid w:val="2E6B559E"/>
    <w:rsid w:val="2ECC5157"/>
    <w:rsid w:val="32F53F55"/>
    <w:rsid w:val="344D3BF7"/>
    <w:rsid w:val="35A56D27"/>
    <w:rsid w:val="35B74FC2"/>
    <w:rsid w:val="35C14082"/>
    <w:rsid w:val="35C60C61"/>
    <w:rsid w:val="37412F35"/>
    <w:rsid w:val="37E138A3"/>
    <w:rsid w:val="38596C94"/>
    <w:rsid w:val="3AC34242"/>
    <w:rsid w:val="3B364098"/>
    <w:rsid w:val="3B365D01"/>
    <w:rsid w:val="3BB43A35"/>
    <w:rsid w:val="3D120C67"/>
    <w:rsid w:val="3DAD17C3"/>
    <w:rsid w:val="3DBF60FF"/>
    <w:rsid w:val="3EF17F10"/>
    <w:rsid w:val="42961716"/>
    <w:rsid w:val="437669E7"/>
    <w:rsid w:val="43CC65BD"/>
    <w:rsid w:val="447F1E5A"/>
    <w:rsid w:val="44D6527E"/>
    <w:rsid w:val="45ED65A8"/>
    <w:rsid w:val="4622705A"/>
    <w:rsid w:val="46B36243"/>
    <w:rsid w:val="46CC670D"/>
    <w:rsid w:val="46F40110"/>
    <w:rsid w:val="474A246F"/>
    <w:rsid w:val="478B394B"/>
    <w:rsid w:val="47D070CA"/>
    <w:rsid w:val="47D836F4"/>
    <w:rsid w:val="48157C28"/>
    <w:rsid w:val="488F77DE"/>
    <w:rsid w:val="48C042A0"/>
    <w:rsid w:val="4A2F1566"/>
    <w:rsid w:val="4B78579F"/>
    <w:rsid w:val="4B9238D0"/>
    <w:rsid w:val="4CB7539F"/>
    <w:rsid w:val="4DB9577C"/>
    <w:rsid w:val="4EA97FF6"/>
    <w:rsid w:val="4F3D1E9B"/>
    <w:rsid w:val="4FA25A10"/>
    <w:rsid w:val="4FF91F60"/>
    <w:rsid w:val="50672779"/>
    <w:rsid w:val="50AC2A9B"/>
    <w:rsid w:val="51DB0283"/>
    <w:rsid w:val="529B2CB1"/>
    <w:rsid w:val="535610C9"/>
    <w:rsid w:val="538A74A1"/>
    <w:rsid w:val="5526285F"/>
    <w:rsid w:val="55913C7C"/>
    <w:rsid w:val="561146F6"/>
    <w:rsid w:val="583F6EAD"/>
    <w:rsid w:val="58891319"/>
    <w:rsid w:val="590838FB"/>
    <w:rsid w:val="595E7E2B"/>
    <w:rsid w:val="598256C1"/>
    <w:rsid w:val="5A5D31A1"/>
    <w:rsid w:val="5E283F36"/>
    <w:rsid w:val="5F825672"/>
    <w:rsid w:val="5FB5253D"/>
    <w:rsid w:val="620739F5"/>
    <w:rsid w:val="624B273D"/>
    <w:rsid w:val="62D249C1"/>
    <w:rsid w:val="66BA3EC8"/>
    <w:rsid w:val="66E50357"/>
    <w:rsid w:val="671D565A"/>
    <w:rsid w:val="677107AD"/>
    <w:rsid w:val="6851485F"/>
    <w:rsid w:val="68D7099E"/>
    <w:rsid w:val="699D3EC8"/>
    <w:rsid w:val="69F310C4"/>
    <w:rsid w:val="6A6437F0"/>
    <w:rsid w:val="6BAC0302"/>
    <w:rsid w:val="6C122F13"/>
    <w:rsid w:val="6C3B67C8"/>
    <w:rsid w:val="6C917FB8"/>
    <w:rsid w:val="6D025111"/>
    <w:rsid w:val="6ED20C37"/>
    <w:rsid w:val="6EDB7958"/>
    <w:rsid w:val="6F7E7B12"/>
    <w:rsid w:val="6FC10684"/>
    <w:rsid w:val="6FD12EEF"/>
    <w:rsid w:val="710E5E30"/>
    <w:rsid w:val="7133728E"/>
    <w:rsid w:val="7166626F"/>
    <w:rsid w:val="71C546DD"/>
    <w:rsid w:val="724B7271"/>
    <w:rsid w:val="728C2C2D"/>
    <w:rsid w:val="72D11FC9"/>
    <w:rsid w:val="73457EEE"/>
    <w:rsid w:val="75CE197A"/>
    <w:rsid w:val="76A9378D"/>
    <w:rsid w:val="77BD1EC6"/>
    <w:rsid w:val="7843609F"/>
    <w:rsid w:val="795B4678"/>
    <w:rsid w:val="798E3ED6"/>
    <w:rsid w:val="7ADF6716"/>
    <w:rsid w:val="7BBB10FB"/>
    <w:rsid w:val="7DA653FF"/>
    <w:rsid w:val="7EBE4CBF"/>
    <w:rsid w:val="7EC448BF"/>
    <w:rsid w:val="7FA9023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cs="Calibri"/>
      <w:kern w:val="2"/>
      <w:sz w:val="21"/>
      <w:szCs w:val="21"/>
      <w:lang w:val="en-US" w:eastAsia="zh-CN" w:bidi="ar-SA"/>
    </w:rPr>
  </w:style>
  <w:style w:type="character" w:default="1" w:styleId="11">
    <w:name w:val="Default Paragraph Font"/>
    <w:semiHidden/>
    <w:qFormat/>
    <w:uiPriority w:val="99"/>
  </w:style>
  <w:style w:type="table" w:default="1" w:styleId="10">
    <w:name w:val="Normal Table"/>
    <w:unhideWhenUsed/>
    <w:qFormat/>
    <w:uiPriority w:val="99"/>
    <w:tblPr>
      <w:tblStyle w:val="10"/>
      <w:tblCellMar>
        <w:top w:w="0" w:type="dxa"/>
        <w:left w:w="108" w:type="dxa"/>
        <w:bottom w:w="0" w:type="dxa"/>
        <w:right w:w="108" w:type="dxa"/>
      </w:tblCellMar>
    </w:tblPr>
  </w:style>
  <w:style w:type="paragraph" w:customStyle="1" w:styleId="2">
    <w:name w:val="_Style 5"/>
    <w:qFormat/>
    <w:uiPriority w:val="0"/>
    <w:pPr>
      <w:widowControl w:val="0"/>
      <w:ind w:firstLine="200" w:firstLineChars="200"/>
      <w:jc w:val="both"/>
    </w:pPr>
    <w:rPr>
      <w:kern w:val="2"/>
      <w:sz w:val="24"/>
      <w:lang w:val="en-US" w:eastAsia="zh-CN" w:bidi="ar-SA"/>
    </w:rPr>
  </w:style>
  <w:style w:type="paragraph" w:styleId="3">
    <w:name w:val="annotation text"/>
    <w:basedOn w:val="1"/>
    <w:link w:val="15"/>
    <w:semiHidden/>
    <w:qFormat/>
    <w:uiPriority w:val="99"/>
    <w:pPr>
      <w:jc w:val="left"/>
    </w:pPr>
  </w:style>
  <w:style w:type="paragraph" w:styleId="4">
    <w:name w:val="Balloon Text"/>
    <w:basedOn w:val="1"/>
    <w:link w:val="16"/>
    <w:semiHidden/>
    <w:qFormat/>
    <w:uiPriority w:val="99"/>
    <w:rPr>
      <w:sz w:val="18"/>
      <w:szCs w:val="18"/>
    </w:rPr>
  </w:style>
  <w:style w:type="paragraph" w:styleId="5">
    <w:name w:val="footer"/>
    <w:basedOn w:val="1"/>
    <w:link w:val="17"/>
    <w:qFormat/>
    <w:uiPriority w:val="99"/>
    <w:pPr>
      <w:tabs>
        <w:tab w:val="center" w:pos="4153"/>
        <w:tab w:val="right" w:pos="8306"/>
      </w:tabs>
      <w:snapToGrid w:val="0"/>
      <w:jc w:val="left"/>
    </w:pPr>
    <w:rPr>
      <w:sz w:val="18"/>
      <w:szCs w:val="18"/>
    </w:rPr>
  </w:style>
  <w:style w:type="paragraph" w:styleId="6">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spacing w:beforeAutospacing="1" w:afterAutospacing="1"/>
      <w:jc w:val="left"/>
    </w:pPr>
    <w:rPr>
      <w:kern w:val="0"/>
      <w:sz w:val="24"/>
      <w:szCs w:val="24"/>
    </w:rPr>
  </w:style>
  <w:style w:type="paragraph" w:styleId="8">
    <w:name w:val="Title"/>
    <w:basedOn w:val="1"/>
    <w:next w:val="1"/>
    <w:qFormat/>
    <w:locked/>
    <w:uiPriority w:val="0"/>
    <w:pPr>
      <w:spacing w:before="240" w:after="60"/>
      <w:jc w:val="center"/>
      <w:outlineLvl w:val="0"/>
    </w:pPr>
    <w:rPr>
      <w:rFonts w:ascii="Cambria" w:hAnsi="Cambria"/>
      <w:b/>
      <w:bCs/>
    </w:rPr>
  </w:style>
  <w:style w:type="paragraph" w:styleId="9">
    <w:name w:val="annotation subject"/>
    <w:basedOn w:val="3"/>
    <w:next w:val="3"/>
    <w:link w:val="19"/>
    <w:semiHidden/>
    <w:qFormat/>
    <w:uiPriority w:val="99"/>
    <w:rPr>
      <w:b/>
      <w:bCs/>
    </w:rPr>
  </w:style>
  <w:style w:type="character" w:styleId="12">
    <w:name w:val="page number"/>
    <w:qFormat/>
    <w:uiPriority w:val="99"/>
  </w:style>
  <w:style w:type="character" w:styleId="13">
    <w:name w:val="Hyperlink"/>
    <w:semiHidden/>
    <w:qFormat/>
    <w:uiPriority w:val="99"/>
    <w:rPr>
      <w:color w:val="0000FF"/>
      <w:u w:val="single"/>
    </w:rPr>
  </w:style>
  <w:style w:type="character" w:styleId="14">
    <w:name w:val="annotation reference"/>
    <w:semiHidden/>
    <w:qFormat/>
    <w:uiPriority w:val="99"/>
    <w:rPr>
      <w:sz w:val="21"/>
      <w:szCs w:val="21"/>
    </w:rPr>
  </w:style>
  <w:style w:type="character" w:customStyle="1" w:styleId="15">
    <w:name w:val="批注文字 字符"/>
    <w:link w:val="3"/>
    <w:semiHidden/>
    <w:qFormat/>
    <w:locked/>
    <w:uiPriority w:val="99"/>
    <w:rPr>
      <w:kern w:val="2"/>
      <w:sz w:val="22"/>
      <w:szCs w:val="22"/>
    </w:rPr>
  </w:style>
  <w:style w:type="character" w:customStyle="1" w:styleId="16">
    <w:name w:val="批注框文本 字符"/>
    <w:link w:val="4"/>
    <w:semiHidden/>
    <w:qFormat/>
    <w:locked/>
    <w:uiPriority w:val="99"/>
    <w:rPr>
      <w:kern w:val="2"/>
      <w:sz w:val="18"/>
      <w:szCs w:val="18"/>
    </w:rPr>
  </w:style>
  <w:style w:type="character" w:customStyle="1" w:styleId="17">
    <w:name w:val="页脚 字符"/>
    <w:link w:val="5"/>
    <w:qFormat/>
    <w:locked/>
    <w:uiPriority w:val="99"/>
    <w:rPr>
      <w:sz w:val="18"/>
      <w:szCs w:val="18"/>
    </w:rPr>
  </w:style>
  <w:style w:type="character" w:customStyle="1" w:styleId="18">
    <w:name w:val="页眉 字符"/>
    <w:link w:val="6"/>
    <w:qFormat/>
    <w:locked/>
    <w:uiPriority w:val="99"/>
    <w:rPr>
      <w:sz w:val="18"/>
      <w:szCs w:val="18"/>
    </w:rPr>
  </w:style>
  <w:style w:type="character" w:customStyle="1" w:styleId="19">
    <w:name w:val="批注主题 字符"/>
    <w:link w:val="9"/>
    <w:semiHidden/>
    <w:qFormat/>
    <w:locked/>
    <w:uiPriority w:val="99"/>
    <w:rPr>
      <w:b/>
      <w:bCs/>
    </w:rPr>
  </w:style>
  <w:style w:type="paragraph" w:customStyle="1" w:styleId="20">
    <w:name w:val="列表段落"/>
    <w:basedOn w:val="1"/>
    <w:qFormat/>
    <w:uiPriority w:val="99"/>
    <w:pPr>
      <w:ind w:firstLine="420" w:firstLineChars="200"/>
    </w:pPr>
  </w:style>
  <w:style w:type="paragraph" w:customStyle="1" w:styleId="21">
    <w:name w:val="修订"/>
    <w:unhideWhenUsed/>
    <w:uiPriority w:val="99"/>
    <w:rPr>
      <w:rFonts w:ascii="Calibri" w:hAnsi="Calibri" w:cs="Calibri"/>
      <w:kern w:val="2"/>
      <w:sz w:val="21"/>
      <w:szCs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Microsoft</Company>
  <Pages>10</Pages>
  <Words>628</Words>
  <Characters>3583</Characters>
  <Lines>29</Lines>
  <Paragraphs>8</Paragraphs>
  <TotalTime>14</TotalTime>
  <ScaleCrop>false</ScaleCrop>
  <LinksUpToDate>false</LinksUpToDate>
  <CharactersWithSpaces>4203</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2024-02-03T07:30:00Z</dcterms:created>
  <dc:creator>ZYZ</dc:creator>
  <cp:lastModifiedBy>且听风吟</cp:lastModifiedBy>
  <cp:lastPrinted>2025-11-25T00:59:00Z</cp:lastPrinted>
  <dcterms:modified xsi:type="dcterms:W3CDTF">2025-11-27T09:24:32Z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EBDE7D80ABDC460A8BA3C2177C063F8A</vt:lpwstr>
  </property>
  <property fmtid="{D5CDD505-2E9C-101B-9397-08002B2CF9AE}" pid="4" name="KSOTemplateDocerSaveRecord">
    <vt:lpwstr>eyJoZGlkIjoiMTAxZGFlYTdkODk5ZTgxNjRhMGVkNTQ3NDRjY2U0ZjkiLCJ1c2VySWQiOiIxMTQyMTg0ODk1In0=</vt:lpwstr>
  </property>
</Properties>
</file>