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t>附件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000000"/>
        </w:rPr>
        <w:t>：</w:t>
      </w:r>
    </w:p>
    <w:p>
      <w:pPr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936625" cy="836295"/>
            <wp:effectExtent l="0" t="0" r="0" b="0"/>
            <wp:docPr id="3" name="图片 1" descr="标识透明底(小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标识透明底(小）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89" w:afterLines="50"/>
        <w:rPr>
          <w:rFonts w:hint="default" w:ascii="Times New Roman" w:hAnsi="Times New Roman" w:eastAsia="黑体" w:cs="Times New Roman"/>
          <w:color w:val="000000"/>
          <w:sz w:val="44"/>
          <w:szCs w:val="44"/>
        </w:rPr>
      </w:pPr>
    </w:p>
    <w:p>
      <w:pPr>
        <w:spacing w:after="289" w:afterLines="50"/>
        <w:jc w:val="center"/>
        <w:rPr>
          <w:rFonts w:hint="default" w:ascii="Times New Roman" w:hAnsi="Times New Roman" w:eastAsia="黑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44"/>
          <w:szCs w:val="44"/>
        </w:rPr>
        <w:t>20</w:t>
      </w:r>
      <w:r>
        <w:rPr>
          <w:rFonts w:hint="default" w:ascii="Times New Roman" w:hAnsi="Times New Roman" w:eastAsia="黑体" w:cs="Times New Roman"/>
          <w:color w:val="000000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黑体" w:cs="Times New Roman"/>
          <w:color w:val="000000"/>
          <w:sz w:val="44"/>
          <w:szCs w:val="44"/>
        </w:rPr>
        <w:t>年吉林省服务业发展专项资金</w:t>
      </w:r>
    </w:p>
    <w:p>
      <w:pPr>
        <w:spacing w:after="289" w:afterLines="50"/>
        <w:jc w:val="center"/>
        <w:rPr>
          <w:rFonts w:hint="default" w:ascii="Times New Roman" w:hAnsi="Times New Roman" w:eastAsia="黑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44"/>
          <w:szCs w:val="44"/>
        </w:rPr>
        <w:t xml:space="preserve">  </w:t>
      </w:r>
    </w:p>
    <w:p>
      <w:pPr>
        <w:spacing w:after="289" w:afterLines="50" w:line="240" w:lineRule="exact"/>
        <w:jc w:val="center"/>
        <w:rPr>
          <w:rFonts w:hint="default" w:ascii="Times New Roman" w:hAnsi="Times New Roman" w:eastAsia="黑体" w:cs="Times New Roman"/>
          <w:color w:val="000000"/>
          <w:sz w:val="48"/>
          <w:szCs w:val="48"/>
        </w:rPr>
      </w:pPr>
    </w:p>
    <w:p>
      <w:pPr>
        <w:spacing w:after="289" w:afterLines="50" w:line="500" w:lineRule="exact"/>
        <w:jc w:val="center"/>
        <w:rPr>
          <w:rFonts w:hint="default" w:ascii="Times New Roman" w:hAnsi="Times New Roman" w:eastAsia="黑体" w:cs="Times New Roman"/>
          <w:color w:val="000000"/>
          <w:sz w:val="48"/>
          <w:szCs w:val="48"/>
        </w:rPr>
      </w:pPr>
      <w:r>
        <w:rPr>
          <w:rFonts w:hint="default" w:ascii="Times New Roman" w:hAnsi="Times New Roman" w:eastAsia="黑体" w:cs="Times New Roman"/>
          <w:color w:val="000000"/>
          <w:sz w:val="48"/>
          <w:szCs w:val="48"/>
        </w:rPr>
        <w:t>项</w:t>
      </w:r>
    </w:p>
    <w:p>
      <w:pPr>
        <w:spacing w:after="289" w:afterLines="50" w:line="500" w:lineRule="exact"/>
        <w:jc w:val="center"/>
        <w:rPr>
          <w:rFonts w:hint="default" w:ascii="Times New Roman" w:hAnsi="Times New Roman" w:eastAsia="黑体" w:cs="Times New Roman"/>
          <w:color w:val="000000"/>
          <w:sz w:val="48"/>
          <w:szCs w:val="48"/>
        </w:rPr>
      </w:pPr>
      <w:r>
        <w:rPr>
          <w:rFonts w:hint="default" w:ascii="Times New Roman" w:hAnsi="Times New Roman" w:eastAsia="黑体" w:cs="Times New Roman"/>
          <w:color w:val="000000"/>
          <w:sz w:val="48"/>
          <w:szCs w:val="48"/>
        </w:rPr>
        <w:t>目</w:t>
      </w:r>
    </w:p>
    <w:p>
      <w:pPr>
        <w:spacing w:after="289" w:afterLines="50" w:line="500" w:lineRule="exact"/>
        <w:jc w:val="center"/>
        <w:rPr>
          <w:rFonts w:hint="default" w:ascii="Times New Roman" w:hAnsi="Times New Roman" w:eastAsia="黑体" w:cs="Times New Roman"/>
          <w:color w:val="000000"/>
          <w:sz w:val="48"/>
          <w:szCs w:val="48"/>
        </w:rPr>
      </w:pPr>
      <w:r>
        <w:rPr>
          <w:rFonts w:hint="default" w:ascii="Times New Roman" w:hAnsi="Times New Roman" w:eastAsia="黑体" w:cs="Times New Roman"/>
          <w:color w:val="000000"/>
          <w:sz w:val="48"/>
          <w:szCs w:val="48"/>
        </w:rPr>
        <w:t>申</w:t>
      </w:r>
    </w:p>
    <w:p>
      <w:pPr>
        <w:spacing w:after="289" w:afterLines="50" w:line="500" w:lineRule="exact"/>
        <w:jc w:val="center"/>
        <w:rPr>
          <w:rFonts w:hint="default" w:ascii="Times New Roman" w:hAnsi="Times New Roman" w:eastAsia="黑体" w:cs="Times New Roman"/>
          <w:color w:val="000000"/>
          <w:sz w:val="48"/>
          <w:szCs w:val="48"/>
        </w:rPr>
      </w:pPr>
      <w:r>
        <w:rPr>
          <w:rFonts w:hint="default" w:ascii="Times New Roman" w:hAnsi="Times New Roman" w:eastAsia="黑体" w:cs="Times New Roman"/>
          <w:color w:val="000000"/>
          <w:sz w:val="48"/>
          <w:szCs w:val="48"/>
        </w:rPr>
        <w:t>报</w:t>
      </w:r>
    </w:p>
    <w:p>
      <w:pPr>
        <w:spacing w:after="289" w:afterLines="50" w:line="500" w:lineRule="exact"/>
        <w:jc w:val="center"/>
        <w:rPr>
          <w:rFonts w:hint="default" w:ascii="Times New Roman" w:hAnsi="Times New Roman" w:eastAsia="黑体" w:cs="Times New Roman"/>
          <w:color w:val="000000"/>
          <w:sz w:val="48"/>
          <w:szCs w:val="48"/>
        </w:rPr>
      </w:pPr>
      <w:r>
        <w:rPr>
          <w:rFonts w:hint="default" w:ascii="Times New Roman" w:hAnsi="Times New Roman" w:eastAsia="黑体" w:cs="Times New Roman"/>
          <w:color w:val="000000"/>
          <w:sz w:val="48"/>
          <w:szCs w:val="48"/>
        </w:rPr>
        <w:t>书</w:t>
      </w:r>
    </w:p>
    <w:p>
      <w:pPr>
        <w:spacing w:after="289" w:afterLines="50" w:line="240" w:lineRule="exact"/>
        <w:jc w:val="center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>
      <w:pPr>
        <w:spacing w:after="289" w:afterLines="50" w:line="240" w:lineRule="exact"/>
        <w:jc w:val="center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>
      <w:pPr>
        <w:spacing w:after="289" w:afterLines="50" w:line="240" w:lineRule="exact"/>
        <w:jc w:val="center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>
      <w:pPr>
        <w:spacing w:after="289" w:afterLines="50" w:line="240" w:lineRule="exact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 xml:space="preserve">      </w:t>
      </w:r>
    </w:p>
    <w:p>
      <w:pPr>
        <w:ind w:firstLine="600" w:firstLineChars="200"/>
        <w:rPr>
          <w:rFonts w:hint="default" w:ascii="Times New Roman" w:hAnsi="Times New Roman" w:eastAsia="黑体" w:cs="Times New Roman"/>
          <w:color w:val="000000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申请金额 ：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u w:val="single"/>
        </w:rPr>
        <w:t xml:space="preserve">           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万元</w:t>
      </w:r>
    </w:p>
    <w:p>
      <w:pPr>
        <w:ind w:firstLine="600" w:firstLineChars="200"/>
        <w:rPr>
          <w:rFonts w:hint="default" w:ascii="Times New Roman" w:hAnsi="Times New Roman" w:eastAsia="黑体" w:cs="Times New Roman"/>
          <w:color w:val="000000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项目名称 ：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u w:val="single"/>
        </w:rPr>
        <w:t xml:space="preserve">                                  </w:t>
      </w:r>
    </w:p>
    <w:p>
      <w:pPr>
        <w:ind w:firstLine="600" w:firstLineChars="200"/>
        <w:rPr>
          <w:rFonts w:hint="default" w:ascii="Times New Roman" w:hAnsi="Times New Roman" w:eastAsia="黑体" w:cs="Times New Roman"/>
          <w:color w:val="000000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eastAsia="zh-CN"/>
        </w:rPr>
        <w:t>实施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单位 ：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995" w:leftChars="186" w:hanging="2400" w:hangingChars="8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项目类别 ：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sym w:font="Wingdings 2" w:char="00A3"/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 xml:space="preserve">惠农服务工程 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sym w:font="Wingdings 2" w:char="00A3"/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>农资现代流通服务网络体系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978" w:leftChars="700" w:hanging="738" w:hangingChars="246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sym w:font="Wingdings 2" w:char="00A3"/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新型农民社员培训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5448F"/>
    <w:rsid w:val="24154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2023-09-27T05:56:00Z</dcterms:created>
  <dc:creator>索超</dc:creator>
  <cp:lastModifiedBy>索超</cp:lastModifiedBy>
  <dcterms:modified xsi:type="dcterms:W3CDTF">2023-09-27T05:56:38Z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